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2"/>
        <w:gridCol w:w="3572"/>
        <w:gridCol w:w="3061"/>
      </w:tblGrid>
      <w:tr>
        <w:trPr/>
        <w:tc>
          <w:tcPr>
            <w:tcW w:w="3572"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pPr>
                  <w:hyperlink r:id="rId4">
                    <w:r>
                      <w:rPr>
                        <w:rStyle w:val="InternetLink"/>
                      </w:rPr>
                      <w:t>Mauricio Maxine Lum</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301 MERRITT SEVEN</w:t>
                  </w:r>
                </w:p>
              </w:tc>
            </w:tr>
            <w:tr>
              <w:trPr/>
              <w:tc>
                <w:tcPr>
                  <w:tcW w:w="345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NORWALK</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CT</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06851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EMCOR Group, Inc.</w:t>
              </w:r>
            </w:hyperlink>
            <w:r>
              <w:rPr/>
              <w:t xml:space="preserve"> [ </w:t>
            </w:r>
            <w:r>
              <w:rPr>
                <w:rFonts w:ascii="Times;serif" w:hAnsi="Times;serif"/>
                <w:color w:val="0000FF"/>
                <w:sz w:val="24"/>
                <w:shd w:fill="FFFFFF" w:val="clear"/>
              </w:rPr>
              <w:t>EME</w:t>
            </w:r>
            <w:r>
              <w:rPr/>
              <w:t xml:space="preserve"> ] </w:t>
              <w:br/>
            </w:r>
            <w:r>
              <w:rPr>
                <w:rFonts w:ascii="arial;helvetica;sans-serif" w:hAnsi="arial;helvetica;sans-serif"/>
                <w:sz w:val="20"/>
              </w:rPr>
              <w:t>Foreign Trading Symbol</w:t>
            </w:r>
          </w:p>
        </w:tc>
        <w:tc>
          <w:tcPr>
            <w:tcW w:w="306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CAO, EVP &amp; General Counsel</w:t>
                  </w:r>
                </w:p>
              </w:tc>
            </w:tr>
          </w:tbl>
          <w:p>
            <w:pPr>
              <w:pStyle w:val="TableContents"/>
              <w:bidi w:val="0"/>
              <w:spacing w:before="0" w:after="283"/>
              <w:jc w:val="left"/>
              <w:rPr>
                <w:sz w:val="4"/>
                <w:szCs w:val="4"/>
              </w:rPr>
            </w:pPr>
            <w:r>
              <w:rPr>
                <w:sz w:val="4"/>
                <w:szCs w:val="4"/>
              </w:rPr>
            </w:r>
          </w:p>
        </w:tc>
      </w:tr>
      <w:tr>
        <w:trPr/>
        <w:tc>
          <w:tcPr>
            <w:tcW w:w="357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07/31/2026</w:t>
            </w:r>
          </w:p>
        </w:tc>
        <w:tc>
          <w:tcPr>
            <w:tcW w:w="306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2"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518"/>
        <w:gridCol w:w="904"/>
        <w:gridCol w:w="773"/>
        <w:gridCol w:w="601"/>
        <w:gridCol w:w="354"/>
        <w:gridCol w:w="823"/>
        <w:gridCol w:w="468"/>
        <w:gridCol w:w="631"/>
        <w:gridCol w:w="1187"/>
        <w:gridCol w:w="1015"/>
        <w:gridCol w:w="93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51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2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8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1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51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8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1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51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07/31/2026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4</w:t>
            </w:r>
            <w:r>
              <w:rPr>
                <w:rFonts w:ascii="Times;serif" w:hAnsi="Times;serif"/>
                <w:color w:val="008000"/>
                <w:position w:val="7"/>
                <w:sz w:val="16"/>
                <w:sz w:val="20"/>
                <w:shd w:fill="FFFFFF" w:val="clear"/>
              </w:rPr>
              <w:t>(1)</w:t>
            </w:r>
          </w:p>
        </w:tc>
        <w:tc>
          <w:tcPr>
            <w:tcW w:w="46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8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22,484</w:t>
            </w:r>
            <w:r>
              <w:rPr>
                <w:rFonts w:ascii="Times;serif" w:hAnsi="Times;serif"/>
                <w:color w:val="008000"/>
                <w:position w:val="7"/>
                <w:sz w:val="16"/>
                <w:sz w:val="20"/>
                <w:shd w:fill="FFFFFF" w:val="clear"/>
              </w:rPr>
              <w:t>(2)</w:t>
            </w:r>
          </w:p>
        </w:tc>
        <w:tc>
          <w:tcPr>
            <w:tcW w:w="101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restricted stock units ("RSUs") issued in respect of already outstanding RSUs as a consequence of a dividend paid on the Company's common stock on July 31, 2026. The RSUs issued on July 31, 2026 are subject to the same vesting and forfeiture provisions as the RSUs in respect of which they have been issued.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Includes shares issuable in respect of RSUs.</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Jarrett R. Szeftel,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08/03/2026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663011" TargetMode="External"/><Relationship Id="rId5" Type="http://schemas.openxmlformats.org/officeDocument/2006/relationships/hyperlink" Target="http://www.sec.gov/cgi-bin/browse-edgar?action=getcompany&amp;CIK=0000105634"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628</Words>
  <Characters>3371</Characters>
  <CharactersWithSpaces>3931</CharactersWithSpaces>
  <Paragraphs>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