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20" w:type="dxa"/>
        <w:jc w:val="center"/>
        <w:tblInd w:w="0" w:type="dxa"/>
        <w:tblLayout w:type="fixed"/>
        <w:tblCellMar>
          <w:top w:w="28" w:type="dxa"/>
          <w:left w:w="28" w:type="dxa"/>
          <w:bottom w:w="28" w:type="dxa"/>
          <w:right w:w="28" w:type="dxa"/>
        </w:tblCellMar>
      </w:tblPr>
      <w:tblGrid>
        <w:gridCol w:w="364"/>
        <w:gridCol w:w="320"/>
        <w:gridCol w:w="322"/>
        <w:gridCol w:w="179"/>
        <w:gridCol w:w="179"/>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8"/>
              </w:rPr>
            </w:pPr>
            <w:r>
              <w:rPr>
                <w:rFonts w:ascii="Times New Roman;serif" w:hAnsi="Times New Roman;serif"/>
                <w:b/>
                <w:color w:val="000000"/>
                <w:sz w:val="28"/>
              </w:rPr>
              <w:t>FORM</w:t>
            </w:r>
          </w:p>
        </w:tc>
        <w:tc>
          <w:tcPr>
            <w:tcW w:w="6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8"/>
              </w:rPr>
            </w:pPr>
            <w:r>
              <w:rPr>
                <w:rFonts w:ascii="Times New Roman;serif" w:hAnsi="Times New Roman;serif"/>
                <w:b/>
                <w:color w:val="000000"/>
                <w:sz w:val="28"/>
              </w:rPr>
              <w:t>8-K</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 xml:space="preserve">July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EMCOR Group,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696"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1-8267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11-2125338</w:t>
            </w:r>
          </w:p>
        </w:tc>
      </w:tr>
      <w:tr>
        <w:trPr/>
        <w:tc>
          <w:tcPr>
            <w:tcW w:w="3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839" w:type="dxa"/>
        <w:jc w:val="center"/>
        <w:tblInd w:w="0" w:type="dxa"/>
        <w:tblLayout w:type="fixed"/>
        <w:tblCellMar>
          <w:top w:w="28" w:type="dxa"/>
          <w:left w:w="28" w:type="dxa"/>
          <w:bottom w:w="28" w:type="dxa"/>
          <w:right w:w="28" w:type="dxa"/>
        </w:tblCellMar>
      </w:tblPr>
      <w:tblGrid>
        <w:gridCol w:w="544"/>
        <w:gridCol w:w="477"/>
        <w:gridCol w:w="481"/>
        <w:gridCol w:w="615"/>
        <w:gridCol w:w="615"/>
        <w:gridCol w:w="626"/>
        <w:gridCol w:w="109"/>
        <w:gridCol w:w="109"/>
        <w:gridCol w:w="109"/>
        <w:gridCol w:w="337"/>
        <w:gridCol w:w="337"/>
        <w:gridCol w:w="480"/>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301 Merritt Seven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Norwalk,</w:t>
            </w:r>
          </w:p>
        </w:tc>
        <w:tc>
          <w:tcPr>
            <w:tcW w:w="1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06851-1092</w:t>
            </w:r>
          </w:p>
        </w:tc>
      </w:tr>
      <w:tr>
        <w:trPr/>
        <w:tc>
          <w:tcPr>
            <w:tcW w:w="335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4649" w:type="dxa"/>
        <w:jc w:val="center"/>
        <w:tblInd w:w="0" w:type="dxa"/>
        <w:tblLayout w:type="fixed"/>
        <w:tblCellMar>
          <w:top w:w="28" w:type="dxa"/>
          <w:left w:w="28" w:type="dxa"/>
          <w:bottom w:w="28" w:type="dxa"/>
          <w:right w:w="28" w:type="dxa"/>
        </w:tblCellMar>
      </w:tblPr>
      <w:tblGrid>
        <w:gridCol w:w="620"/>
        <w:gridCol w:w="549"/>
        <w:gridCol w:w="552"/>
        <w:gridCol w:w="856"/>
        <w:gridCol w:w="856"/>
        <w:gridCol w:w="1216"/>
      </w:tblGrid>
      <w:tr>
        <w:trPr/>
        <w:tc>
          <w:tcPr>
            <w:tcW w:w="6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erif" w:hAnsi="Times New Roman;serif"/>
                <w:b/>
                <w:color w:val="000000"/>
                <w:sz w:val="20"/>
              </w:rPr>
            </w:pPr>
            <w:r>
              <w:rPr>
                <w:rFonts w:ascii="Times New Roman;serif" w:hAnsi="Times New Roman;serif"/>
                <w:b/>
                <w:color w:val="000000"/>
                <w:sz w:val="20"/>
              </w:rPr>
              <w:t>(203)</w:t>
            </w:r>
          </w:p>
        </w:tc>
        <w:tc>
          <w:tcPr>
            <w:tcW w:w="2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283"/>
              <w:jc w:val="left"/>
              <w:rPr>
                <w:rFonts w:ascii="Times New Roman;serif" w:hAnsi="Times New Roman;serif"/>
                <w:b/>
                <w:color w:val="000000"/>
                <w:sz w:val="20"/>
              </w:rPr>
            </w:pPr>
            <w:r>
              <w:rPr>
                <w:rFonts w:ascii="Times New Roman;serif" w:hAnsi="Times New Roman;serif"/>
                <w:b/>
                <w:color w:val="000000"/>
                <w:sz w:val="20"/>
              </w:rPr>
              <w:t>849-7800</w:t>
            </w:r>
          </w:p>
        </w:tc>
      </w:tr>
      <w:tr>
        <w:trPr/>
        <w:tc>
          <w:tcPr>
            <w:tcW w:w="464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952"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454"/>
        <w:gridCol w:w="454"/>
        <w:gridCol w:w="456"/>
        <w:gridCol w:w="109"/>
        <w:gridCol w:w="109"/>
        <w:gridCol w:w="109"/>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tbl>
      <w:tblPr>
        <w:tblW w:w="2697" w:type="dxa"/>
        <w:jc w:val="center"/>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30, 2026, EMCOR Group, Inc. issued a press release disclosing results of operations for its fiscal 2026 second quarter ended June 30, 2026. A copy of such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shall not be deemed to be “filed” for the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75"/>
        <w:gridCol w:w="393"/>
        <w:gridCol w:w="347"/>
        <w:gridCol w:w="109"/>
        <w:gridCol w:w="109"/>
        <w:gridCol w:w="109"/>
        <w:gridCol w:w="2536"/>
        <w:gridCol w:w="2536"/>
        <w:gridCol w:w="3591"/>
      </w:tblGrid>
      <w:tr>
        <w:trPr/>
        <w:tc>
          <w:tcPr>
            <w:tcW w:w="47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me-ex991_2026630xq2.htm">
              <w:r>
                <w:rPr>
                  <w:rStyle w:val="InternetLink"/>
                  <w:rFonts w:ascii="Times New Roman;serif" w:hAnsi="Times New Roman;serif"/>
                  <w:b w:val="false"/>
                  <w:color w:val="0000FF"/>
                  <w:sz w:val="20"/>
                  <w:u w:val="single"/>
                </w:rPr>
                <w:t>Press Release issued by EMCOR Group, Inc. on July 30, 2026 disclosing results of operations for its fiscal 2026 second quarter ended June 30, 2026.</w:t>
              </w:r>
            </w:hyperlink>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37" w:type="dxa"/>
        <w:jc w:val="left"/>
        <w:tblInd w:w="0" w:type="dxa"/>
        <w:tblLayout w:type="fixed"/>
        <w:tblCellMar>
          <w:top w:w="28" w:type="dxa"/>
          <w:left w:w="28" w:type="dxa"/>
          <w:bottom w:w="28" w:type="dxa"/>
          <w:right w:w="28" w:type="dxa"/>
        </w:tblCellMar>
      </w:tblPr>
      <w:tblGrid>
        <w:gridCol w:w="658"/>
        <w:gridCol w:w="577"/>
        <w:gridCol w:w="580"/>
        <w:gridCol w:w="307"/>
        <w:gridCol w:w="307"/>
        <w:gridCol w:w="307"/>
        <w:gridCol w:w="708"/>
        <w:gridCol w:w="708"/>
        <w:gridCol w:w="713"/>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EMCOR Group,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J. GUZZI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Anthony J. Guzzi</w:t>
            </w:r>
          </w:p>
        </w:tc>
        <w:tc>
          <w:tcPr>
            <w:tcW w:w="372"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President, and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790700" cy="733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790700" cy="733425"/>
                    </a:xfrm>
                    <a:prstGeom prst="rect">
                      <a:avLst/>
                    </a:prstGeom>
                  </pic:spPr>
                </pic:pic>
              </a:graphicData>
            </a:graphic>
          </wp:inline>
        </w:drawing>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797" w:type="dxa"/>
        <w:jc w:val="center"/>
        <w:tblInd w:w="0" w:type="dxa"/>
        <w:tblLayout w:type="fixed"/>
        <w:tblCellMar>
          <w:top w:w="28" w:type="dxa"/>
          <w:left w:w="28" w:type="dxa"/>
          <w:bottom w:w="28" w:type="dxa"/>
          <w:right w:w="28" w:type="dxa"/>
        </w:tblCellMar>
      </w:tblPr>
      <w:tblGrid>
        <w:gridCol w:w="623"/>
        <w:gridCol w:w="546"/>
        <w:gridCol w:w="556"/>
        <w:gridCol w:w="109"/>
        <w:gridCol w:w="109"/>
        <w:gridCol w:w="109"/>
        <w:gridCol w:w="803"/>
        <w:gridCol w:w="803"/>
        <w:gridCol w:w="1139"/>
      </w:tblGrid>
      <w:tr>
        <w:trPr/>
        <w:tc>
          <w:tcPr>
            <w:tcW w:w="6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EXHIBIT 99.1</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EMCOR GROUP, INC.</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News Release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CONTACT: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Lucas Sullivan</w:t>
            </w:r>
          </w:p>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Director</w:t>
            </w:r>
          </w:p>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Financial Planning &amp; Analysis</w:t>
            </w:r>
          </w:p>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(203) 849-7938</w:t>
            </w:r>
          </w:p>
          <w:p>
            <w:pPr>
              <w:pStyle w:val="TableContents"/>
              <w:bidi w:val="0"/>
              <w:spacing w:before="0" w:after="0"/>
              <w:jc w:val="both"/>
              <w:rPr/>
            </w:pPr>
            <w:r>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FTI Consulting, Inc.</w:t>
              <w:br/>
              <w:t>Investors: Blake Mueller</w:t>
              <w:br/>
              <w:t>(718) 578-3706</w:t>
            </w:r>
          </w:p>
        </w:tc>
      </w:tr>
    </w:tbl>
    <w:p>
      <w:pPr>
        <w:pStyle w:val="TextBody"/>
        <w:bidi w:val="0"/>
        <w:spacing w:before="0" w:after="0"/>
        <w:jc w:val="center"/>
        <w:rPr/>
      </w:pPr>
      <w:r>
        <w:rPr/>
      </w:r>
    </w:p>
    <w:tbl>
      <w:tblPr>
        <w:tblW w:w="10169" w:type="dxa"/>
        <w:jc w:val="center"/>
        <w:tblInd w:w="0" w:type="dxa"/>
        <w:tblLayout w:type="fixed"/>
        <w:tblCellMar>
          <w:top w:w="28" w:type="dxa"/>
          <w:left w:w="28" w:type="dxa"/>
          <w:bottom w:w="28" w:type="dxa"/>
          <w:right w:w="28" w:type="dxa"/>
        </w:tblCellMar>
      </w:tblPr>
      <w:tblGrid>
        <w:gridCol w:w="3253"/>
        <w:gridCol w:w="2859"/>
        <w:gridCol w:w="4057"/>
      </w:tblGrid>
      <w:tr>
        <w:trPr/>
        <w:tc>
          <w:tcPr>
            <w:tcW w:w="3253"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1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2"/>
              </w:rPr>
            </w:pPr>
            <w:r>
              <w:rPr>
                <w:rFonts w:ascii="Arial;sans-serif" w:hAnsi="Arial;sans-serif"/>
                <w:b/>
                <w:color w:val="000000"/>
                <w:sz w:val="22"/>
              </w:rPr>
              <w:t>EMCOR GROUP, INC. REPORTS SECOND QUARTER 2026 RESULTS</w:t>
            </w:r>
          </w:p>
        </w:tc>
      </w:tr>
      <w:tr>
        <w:trPr/>
        <w:tc>
          <w:tcPr>
            <w:tcW w:w="101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1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Record Quarterly Revenues of $5.15 billion, 19.8% Increase Year-over-Year</w:t>
            </w:r>
          </w:p>
        </w:tc>
      </w:tr>
      <w:tr>
        <w:trPr/>
        <w:tc>
          <w:tcPr>
            <w:tcW w:w="101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Record Second Quarter Operating Income of $547.3 million and Operating Margin of 10.6%</w:t>
            </w:r>
          </w:p>
        </w:tc>
      </w:tr>
      <w:tr>
        <w:trPr/>
        <w:tc>
          <w:tcPr>
            <w:tcW w:w="101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Record Second Quarter Diluted EPS of $9.06, 34.8% Increase Year-over-Year</w:t>
            </w:r>
          </w:p>
        </w:tc>
      </w:tr>
      <w:tr>
        <w:trPr/>
        <w:tc>
          <w:tcPr>
            <w:tcW w:w="10169"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70"/>
              <w:jc w:val="center"/>
              <w:rPr>
                <w:rFonts w:ascii="Arial;sans-serif" w:hAnsi="Arial;sans-serif"/>
                <w:b/>
                <w:i/>
                <w:color w:val="000000"/>
                <w:sz w:val="20"/>
              </w:rPr>
            </w:pPr>
            <w:r>
              <w:rPr>
                <w:rFonts w:ascii="Arial;sans-serif" w:hAnsi="Arial;sans-serif"/>
                <w:b/>
                <w:i/>
                <w:color w:val="000000"/>
                <w:sz w:val="20"/>
              </w:rPr>
              <w:t>Record Remaining Performance Obligations of $17.14 billion, 43.9% Increase Year-over-Year</w:t>
            </w:r>
          </w:p>
        </w:tc>
      </w:tr>
      <w:tr>
        <w:trPr/>
        <w:tc>
          <w:tcPr>
            <w:tcW w:w="101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Increases 2026 Revenue Guidance Range to $20.00 billion - $20.50 billion from $18.50 billion - $19.25 billion</w:t>
            </w:r>
          </w:p>
        </w:tc>
      </w:tr>
      <w:tr>
        <w:trPr/>
        <w:tc>
          <w:tcPr>
            <w:tcW w:w="101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i/>
                <w:color w:val="000000"/>
                <w:sz w:val="20"/>
              </w:rPr>
            </w:pPr>
            <w:r>
              <w:rPr>
                <w:rFonts w:ascii="Arial;sans-serif" w:hAnsi="Arial;sans-serif"/>
                <w:b/>
                <w:i/>
                <w:color w:val="000000"/>
                <w:sz w:val="20"/>
              </w:rPr>
              <w:t>Increases 2026 Diluted EPS Guidance Range to $32.00 - $33.25 from $28.25 - $29.75</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NORWALK, CONNECTICUT, July 30, 2026 - EMCOR Group, Inc. (NYSE: EME) today reported results for the quarter ended June 30, 2026.</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Second Quarter 2026 Results of Operations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 xml:space="preserve">For the second quarter of 2026, </w:t>
      </w:r>
      <w:r>
        <w:rPr>
          <w:rFonts w:ascii="Arial;sans-serif" w:hAnsi="Arial;sans-serif"/>
          <w:b/>
          <w:color w:val="000000"/>
          <w:sz w:val="22"/>
        </w:rPr>
        <w:t>revenues</w:t>
      </w:r>
      <w:r>
        <w:rPr>
          <w:color w:val="000000"/>
        </w:rPr>
        <w:t xml:space="preserve"> </w:t>
      </w:r>
      <w:r>
        <w:rPr>
          <w:rFonts w:ascii="Arial;sans-serif" w:hAnsi="Arial;sans-serif"/>
          <w:b w:val="false"/>
          <w:color w:val="000000"/>
          <w:sz w:val="22"/>
        </w:rPr>
        <w:t>totaled a quarterly record of $5.15 billion, an increase of 19.8%, compared to revenues of $4.30 billion for the second quarter of 2025. On an organic basis, when adjusting for incremental acquisition contribution and the impact of the sale of the Company's United Kingdom operations, second quarter revenues increased by 19.6%.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Net income</w:t>
      </w:r>
      <w:r>
        <w:rPr>
          <w:color w:val="000000"/>
        </w:rPr>
        <w:t xml:space="preserve"> </w:t>
      </w:r>
      <w:r>
        <w:rPr>
          <w:rFonts w:ascii="Arial;sans-serif" w:hAnsi="Arial;sans-serif"/>
          <w:b w:val="false"/>
          <w:color w:val="000000"/>
          <w:sz w:val="22"/>
        </w:rPr>
        <w:t>for the second quarter of 2026 was $403.7 million, or $9.06 per diluted share, compared to net income of $302.2 million, or $6.72 per diluted share, for the second quarter of 2025.</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Operating income</w:t>
      </w:r>
      <w:r>
        <w:rPr>
          <w:color w:val="000000"/>
        </w:rPr>
        <w:t xml:space="preserve"> </w:t>
      </w:r>
      <w:r>
        <w:rPr>
          <w:rFonts w:ascii="Arial;sans-serif" w:hAnsi="Arial;sans-serif"/>
          <w:b w:val="false"/>
          <w:color w:val="000000"/>
          <w:sz w:val="22"/>
        </w:rPr>
        <w:t>for the second quarter of 2026 was $547.3 million, or 10.6% of revenues, compared to operating income of $415.2 million, or 9.6% of revenues, for the second quarter of 2025. Operating income included depreciation and amortization expense (inclusive of amortization of identifiable intangible assets) of $54.3 million and $46.6 million for the second quarter of 2026 and 2025, respectively.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Selling, general and administrative expenses</w:t>
      </w:r>
      <w:r>
        <w:rPr>
          <w:color w:val="000000"/>
        </w:rPr>
        <w:t xml:space="preserve"> </w:t>
      </w:r>
      <w:r>
        <w:rPr>
          <w:rFonts w:ascii="Arial;sans-serif" w:hAnsi="Arial;sans-serif"/>
          <w:b w:val="false"/>
          <w:color w:val="000000"/>
          <w:sz w:val="22"/>
        </w:rPr>
        <w:t>for the second quarter of 2026 totaled $475.0 million, or 9.2% of revenues, compared to $418.6 million, or 9.7% of revenues, for the second quarter of 2025.</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color w:val="000000"/>
          <w:sz w:val="22"/>
        </w:rPr>
        <w:t xml:space="preserve">The Company's </w:t>
      </w:r>
      <w:r>
        <w:rPr>
          <w:rFonts w:ascii="Arial;sans-serif" w:hAnsi="Arial;sans-serif"/>
          <w:b/>
          <w:color w:val="000000"/>
          <w:sz w:val="22"/>
        </w:rPr>
        <w:t xml:space="preserve">income tax rate </w:t>
      </w:r>
      <w:r>
        <w:rPr>
          <w:rFonts w:ascii="Arial;sans-serif" w:hAnsi="Arial;sans-serif"/>
          <w:b w:val="false"/>
          <w:color w:val="000000"/>
          <w:sz w:val="22"/>
        </w:rPr>
        <w:t>for the second quarter of 2026 was 26.8%, compared to 26.7% for the second quarter of 2025.</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xml:space="preserve"> – </w:t>
                            </w:r>
                            <w:r>
                              <w:rPr>
                                <w:rFonts w:ascii="Arial;sans-serif" w:hAnsi="Arial;sans-serif"/>
                                <w:b w:val="false"/>
                                <w:color w:val="000000"/>
                                <w:sz w:val="20"/>
                              </w:rPr>
                              <w:t>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xml:space="preserve"> – </w:t>
                      </w:r>
                      <w:r>
                        <w:rPr>
                          <w:rFonts w:ascii="Arial;sans-serif" w:hAnsi="Arial;sans-serif"/>
                          <w:b w:val="false"/>
                          <w:color w:val="000000"/>
                          <w:sz w:val="20"/>
                        </w:rPr>
                        <w:t>MORE –</w:t>
                      </w:r>
                    </w:p>
                  </w:txbxContent>
                </v:textbox>
                <w10:wrap type="none"/>
              </v:rect>
            </w:pict>
          </mc:Fallback>
        </mc:AlternateContent>
      </w:r>
    </w:p>
    <w:tbl>
      <w:tblPr>
        <w:tblW w:w="5893" w:type="dxa"/>
        <w:jc w:val="left"/>
        <w:tblInd w:w="0" w:type="dxa"/>
        <w:tblLayout w:type="fixed"/>
        <w:tblCellMar>
          <w:top w:w="28" w:type="dxa"/>
          <w:left w:w="28" w:type="dxa"/>
          <w:bottom w:w="28" w:type="dxa"/>
          <w:right w:w="28" w:type="dxa"/>
        </w:tblCellMar>
      </w:tblPr>
      <w:tblGrid>
        <w:gridCol w:w="1826"/>
        <w:gridCol w:w="1604"/>
        <w:gridCol w:w="1609"/>
        <w:gridCol w:w="250"/>
        <w:gridCol w:w="250"/>
        <w:gridCol w:w="354"/>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2"/>
              </w:rPr>
              <w:t>EMCOR Reports Second Quarter 2026 Results</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Page 2</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Remaining performance obligations</w:t>
      </w:r>
      <w:r>
        <w:rPr>
          <w:color w:val="000000"/>
        </w:rPr>
        <w:t xml:space="preserve"> </w:t>
      </w:r>
      <w:r>
        <w:rPr>
          <w:rFonts w:ascii="Arial;sans-serif" w:hAnsi="Arial;sans-serif"/>
          <w:b w:val="false"/>
          <w:color w:val="000000"/>
          <w:sz w:val="22"/>
        </w:rPr>
        <w:t>(“RPOs”) as of June 30, 2026 were a record $17.14 billion, compared to $11.91 billion as of June 30, 2025, an increase of $5.23 billion year-over-year. The Company experienced increases in RPOs within the majority of the sectors in which it operates, with the most significant growth coming from Network and Communications, Water and Wastewater, Institutional, and Healthcare.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Tony Guzzi, Chairman, President, and Chief Executive Officer of EMCOR, commented, “We had an exceptional second quarter, growing revenues nearly 20% and earning an impressive 10.6% operating margin. Our results were driven by strong performance across each of our reportable segments, which demonstrates the consistent execution, discipline, and customer focus that have defined EMCOR's success over many years. Our Remaining Performance Obligations are once again at a record level reflecting sustained demand across several key market sectors and our success in winning new business across multiple customers, geographies, and skilled trades."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 xml:space="preserve">First Six Months 2026 Results of Operations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Revenues</w:t>
      </w:r>
      <w:r>
        <w:rPr>
          <w:color w:val="000000"/>
        </w:rPr>
        <w:t xml:space="preserve"> </w:t>
      </w:r>
      <w:r>
        <w:rPr>
          <w:rFonts w:ascii="Arial;sans-serif" w:hAnsi="Arial;sans-serif"/>
          <w:b w:val="false"/>
          <w:color w:val="000000"/>
          <w:sz w:val="22"/>
        </w:rPr>
        <w:t>for the first six months of 2026 totaled $9.78 billion, an increase of 19.7%, compared to revenues of $8.17 billion for the first six months of 2025. On an organic basis, when adjusting for incremental acquisition contribution and the impact of the sale of the Company's United Kingdom operations, revenues for the first six months of 2026 increased by 18.3%.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Net income</w:t>
      </w:r>
      <w:r>
        <w:rPr>
          <w:color w:val="000000"/>
        </w:rPr>
        <w:t xml:space="preserve"> </w:t>
      </w:r>
      <w:r>
        <w:rPr>
          <w:rFonts w:ascii="Arial;sans-serif" w:hAnsi="Arial;sans-serif"/>
          <w:b w:val="false"/>
          <w:color w:val="000000"/>
          <w:sz w:val="22"/>
        </w:rPr>
        <w:t>for the first six months of 2026 was $709.2 million, or $15.89 per diluted share, compared to net income of $542.8 million, or $11.96 per diluted share, for the first six months of 2025. Net income for the first six months of 2025 included $9.4 million, or $6.9 million after taxes, of transaction related costs associated with the acquisition of Miller Electric Company. Excluding these transaction related costs, non-GAAP net income for the first six months of 2025 was $549.8 million, or $12.11 per diluted share.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Operating income</w:t>
      </w:r>
      <w:r>
        <w:rPr>
          <w:color w:val="000000"/>
        </w:rPr>
        <w:t xml:space="preserve"> </w:t>
      </w:r>
      <w:r>
        <w:rPr>
          <w:rFonts w:ascii="Arial;sans-serif" w:hAnsi="Arial;sans-serif"/>
          <w:b w:val="false"/>
          <w:color w:val="000000"/>
          <w:sz w:val="22"/>
        </w:rPr>
        <w:t>for the first six months of 2026 was $951.2 million, or 9.7% of revenues, compared to operating income of $734.0 million, or 9.0% of revenues, for the first six months of 2025. Excluding the previously referenced transaction related costs, non-GAAP operating income for the first six months of 2025 was $743.3 million, or 9.1% of revenues. Operating income included depreciation and amortization expense (inclusive of amortization of identifiable intangible assets) of $106.8 million and $88.6 million for the first six months of 2026 and 2025, respectively.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Refer to the attached tables for a reconciliation of non-GAAP operating income, non-GAAP operating margin, non-GAAP net income, and non-GAAP diluted earnings per share to the comparable GAAP measures.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Selling, general and administrative</w:t>
      </w:r>
      <w:r>
        <w:rPr>
          <w:color w:val="000000"/>
        </w:rPr>
        <w:t xml:space="preserve"> </w:t>
      </w:r>
      <w:r>
        <w:rPr>
          <w:rFonts w:ascii="Arial;sans-serif" w:hAnsi="Arial;sans-serif"/>
          <w:b/>
          <w:color w:val="000000"/>
          <w:sz w:val="22"/>
        </w:rPr>
        <w:t>expenses</w:t>
      </w:r>
      <w:r>
        <w:rPr>
          <w:color w:val="000000"/>
        </w:rPr>
        <w:t xml:space="preserve"> </w:t>
      </w:r>
      <w:r>
        <w:rPr>
          <w:rFonts w:ascii="Arial;sans-serif" w:hAnsi="Arial;sans-serif"/>
          <w:b w:val="false"/>
          <w:color w:val="000000"/>
          <w:sz w:val="22"/>
        </w:rPr>
        <w:t>totaled $935.1 million, or 9.6% of revenues, for the first six months of 2026, compared to $822.5 million, or 10.1% of revenues, for the first six months of 2025.</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 xml:space="preserve">The Company's </w:t>
      </w:r>
      <w:r>
        <w:rPr>
          <w:rFonts w:ascii="Arial;sans-serif" w:hAnsi="Arial;sans-serif"/>
          <w:b/>
          <w:color w:val="000000"/>
          <w:sz w:val="22"/>
        </w:rPr>
        <w:t>income tax rate</w:t>
      </w:r>
      <w:r>
        <w:rPr>
          <w:color w:val="000000"/>
        </w:rPr>
        <w:t xml:space="preserve"> </w:t>
      </w:r>
      <w:r>
        <w:rPr>
          <w:rFonts w:ascii="Arial;sans-serif" w:hAnsi="Arial;sans-serif"/>
          <w:b w:val="false"/>
          <w:color w:val="000000"/>
          <w:sz w:val="22"/>
        </w:rPr>
        <w:t>was 26.3% for both the first six months of 2026 and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xml:space="preserve"> – </w:t>
                            </w:r>
                            <w:r>
                              <w:rPr>
                                <w:rFonts w:ascii="Arial;sans-serif" w:hAnsi="Arial;sans-serif"/>
                                <w:b w:val="false"/>
                                <w:color w:val="000000"/>
                                <w:sz w:val="20"/>
                              </w:rPr>
                              <w:t>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xml:space="preserve"> – </w:t>
                      </w:r>
                      <w:r>
                        <w:rPr>
                          <w:rFonts w:ascii="Arial;sans-serif" w:hAnsi="Arial;sans-serif"/>
                          <w:b w:val="false"/>
                          <w:color w:val="000000"/>
                          <w:sz w:val="20"/>
                        </w:rPr>
                        <w:t>MORE –</w:t>
                      </w:r>
                    </w:p>
                  </w:txbxContent>
                </v:textbox>
                <w10:wrap type="none"/>
              </v:rect>
            </w:pict>
          </mc:Fallback>
        </mc:AlternateContent>
      </w:r>
    </w:p>
    <w:tbl>
      <w:tblPr>
        <w:tblW w:w="5893" w:type="dxa"/>
        <w:jc w:val="left"/>
        <w:tblInd w:w="0" w:type="dxa"/>
        <w:tblLayout w:type="fixed"/>
        <w:tblCellMar>
          <w:top w:w="28" w:type="dxa"/>
          <w:left w:w="28" w:type="dxa"/>
          <w:bottom w:w="28" w:type="dxa"/>
          <w:right w:w="28" w:type="dxa"/>
        </w:tblCellMar>
      </w:tblPr>
      <w:tblGrid>
        <w:gridCol w:w="1826"/>
        <w:gridCol w:w="1604"/>
        <w:gridCol w:w="1609"/>
        <w:gridCol w:w="250"/>
        <w:gridCol w:w="250"/>
        <w:gridCol w:w="354"/>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2"/>
              </w:rPr>
              <w:t>EMCOR Reports Second Quarter 2026 Results</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Page 3</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2"/>
        </w:rPr>
      </w:pPr>
      <w:r>
        <w:rPr>
          <w:rFonts w:ascii="Arial;sans-serif" w:hAnsi="Arial;sans-serif"/>
          <w:b w:val="false"/>
          <w:color w:val="000000"/>
          <w:sz w:val="22"/>
        </w:rPr>
        <w:t>Mr. Guzzi continued, “We have performed extremely well during the first half of 2026, executing across numerous sectors where demand for our services persists. These outstanding results reflect our ability to complete complex projects across multiple geographies and trades, expand scope with existing customers, and consistently deliver on mission-critical projects. We remain focused on maintaining pricing discipline, carefully selecting project opportunities, and executing at a high level across our operations. As we look ahead, the fundamentals of our business remain strong and our recent and pending acquisitions reflect our focus on complementing our existing operations, expanding our capabilities, and entering new geographies to better serve our customers. Supported by a liquid balance sheet, exceptional field leadership, and a diverse pipeline with significant visibility, we believe EMCOR is well-positioned to benefit from ongoing market opportunities while continuing to create value for our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Full-Year 2026 Guidance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Based on the momentum the Company has experienced year-to-date, along with visibility into the remainder of the year, EMCOR now expects the following for full year 2026: </w:t>
      </w:r>
    </w:p>
    <w:p>
      <w:pPr>
        <w:pStyle w:val="TextBody"/>
        <w:bidi w:val="0"/>
        <w:spacing w:before="0" w:after="0"/>
        <w:jc w:val="both"/>
        <w:rPr/>
      </w:pPr>
      <w:r>
        <w:rPr/>
      </w:r>
    </w:p>
    <w:tbl>
      <w:tblPr>
        <w:tblW w:w="7572" w:type="dxa"/>
        <w:jc w:val="left"/>
        <w:tblInd w:w="0" w:type="dxa"/>
        <w:tblLayout w:type="fixed"/>
        <w:tblCellMar>
          <w:top w:w="28" w:type="dxa"/>
          <w:left w:w="28" w:type="dxa"/>
          <w:bottom w:w="28" w:type="dxa"/>
          <w:right w:w="28" w:type="dxa"/>
        </w:tblCellMar>
      </w:tblPr>
      <w:tblGrid>
        <w:gridCol w:w="652"/>
        <w:gridCol w:w="572"/>
        <w:gridCol w:w="575"/>
        <w:gridCol w:w="954"/>
        <w:gridCol w:w="954"/>
        <w:gridCol w:w="956"/>
        <w:gridCol w:w="850"/>
        <w:gridCol w:w="850"/>
        <w:gridCol w:w="1209"/>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2"/>
                <w:u w:val="single"/>
              </w:rPr>
              <w:t xml:space="preserve">Current Guidance </w:t>
            </w:r>
            <w:r>
              <w:rPr>
                <w:rFonts w:ascii="Arial;sans-serif" w:hAnsi="Arial;sans-serif"/>
                <w:b/>
                <w:i/>
                <w:color w:val="000000"/>
                <w:sz w:val="16"/>
                <w:u w:val="single"/>
              </w:rPr>
              <w:t>(7/30/26)</w:t>
            </w:r>
          </w:p>
        </w:tc>
        <w:tc>
          <w:tcPr>
            <w:tcW w:w="29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pPr>
            <w:r>
              <w:rPr>
                <w:rFonts w:ascii="Arial;sans-serif" w:hAnsi="Arial;sans-serif"/>
                <w:b/>
                <w:color w:val="000000"/>
                <w:sz w:val="22"/>
                <w:u w:val="single"/>
              </w:rPr>
              <w:t xml:space="preserve">Previous Guidance </w:t>
            </w:r>
            <w:r>
              <w:rPr>
                <w:rFonts w:ascii="Arial;sans-serif" w:hAnsi="Arial;sans-serif"/>
                <w:b/>
                <w:i/>
                <w:color w:val="000000"/>
                <w:sz w:val="16"/>
                <w:u w:val="single"/>
              </w:rPr>
              <w:t>(4/29/26)</w:t>
            </w:r>
          </w:p>
        </w:tc>
      </w:tr>
      <w:tr>
        <w:trPr/>
        <w:tc>
          <w:tcPr>
            <w:tcW w:w="17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Revenues</w:t>
            </w:r>
          </w:p>
        </w:tc>
        <w:tc>
          <w:tcPr>
            <w:tcW w:w="28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$20.00 billion – $20.50 billion</w:t>
            </w:r>
          </w:p>
        </w:tc>
        <w:tc>
          <w:tcPr>
            <w:tcW w:w="29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$18.50 billion – $19.25 billion</w:t>
            </w:r>
          </w:p>
        </w:tc>
      </w:tr>
      <w:tr>
        <w:trPr/>
        <w:tc>
          <w:tcPr>
            <w:tcW w:w="179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Operating Margin</w:t>
            </w:r>
          </w:p>
        </w:tc>
        <w:tc>
          <w:tcPr>
            <w:tcW w:w="28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9.5% – 9.8%</w:t>
            </w:r>
          </w:p>
        </w:tc>
        <w:tc>
          <w:tcPr>
            <w:tcW w:w="290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9.0% – 9.4%</w:t>
            </w:r>
          </w:p>
        </w:tc>
      </w:tr>
      <w:tr>
        <w:trPr/>
        <w:tc>
          <w:tcPr>
            <w:tcW w:w="179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Diluted EPS</w:t>
            </w:r>
          </w:p>
        </w:tc>
        <w:tc>
          <w:tcPr>
            <w:tcW w:w="28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$32.00 – $33.25</w:t>
            </w:r>
          </w:p>
        </w:tc>
        <w:tc>
          <w:tcPr>
            <w:tcW w:w="290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$28.25 – $29.75</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Second Quarter 2026 Earnings Conference Call Information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 xml:space="preserve">EMCOR Group's second quarter conference call will be broadcast live via the internet today, Thursday, July 30, at 10:30 AM Eastern Daylight Time and can be accessed through the Company's website at </w:t>
      </w:r>
      <w:r>
        <w:rPr>
          <w:rFonts w:ascii="Arial;sans-serif" w:hAnsi="Arial;sans-serif"/>
          <w:b w:val="false"/>
          <w:color w:val="0000FF"/>
          <w:sz w:val="22"/>
          <w:u w:val="single"/>
        </w:rPr>
        <w:t>www.emcorgroup.com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2"/>
        </w:rPr>
      </w:pPr>
      <w:r>
        <w:rPr>
          <w:rFonts w:ascii="Arial;sans-serif" w:hAnsi="Arial;sans-serif"/>
          <w:b/>
          <w:color w:val="000000"/>
          <w:sz w:val="22"/>
        </w:rPr>
        <w:t>About EMCOR</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 xml:space="preserve">A Fortune 500 company and a member of the S&amp;P 500, EMCOR Group, Inc. is a leader in mechanical and electrical construction services, industrial and energy infrastructure, and building services. This press release and other press releases may be viewed at the Company’s website at </w:t>
      </w:r>
      <w:r>
        <w:rPr>
          <w:rFonts w:ascii="Arial;sans-serif" w:hAnsi="Arial;sans-serif"/>
          <w:b w:val="false"/>
          <w:color w:val="0000FF"/>
          <w:sz w:val="22"/>
          <w:u w:val="single"/>
        </w:rPr>
        <w:t>www.emcorgroup.com</w:t>
      </w:r>
      <w:r>
        <w:rPr>
          <w:rFonts w:ascii="Arial;sans-serif" w:hAnsi="Arial;sans-serif"/>
          <w:b w:val="false"/>
          <w:color w:val="000000"/>
          <w:sz w:val="22"/>
        </w:rPr>
        <w:t xml:space="preserve">. EMCOR routinely posts information that may be important to investors on the landing page of the Company's website and in the “Investor Relations” section of the website at </w:t>
      </w:r>
      <w:r>
        <w:rPr>
          <w:rFonts w:ascii="Arial;sans-serif" w:hAnsi="Arial;sans-serif"/>
          <w:b w:val="false"/>
          <w:color w:val="0000FF"/>
          <w:sz w:val="22"/>
          <w:u w:val="single"/>
        </w:rPr>
        <w:t>www.emcorgroup.com/investor-relations</w:t>
      </w:r>
      <w:r>
        <w:rPr>
          <w:rFonts w:ascii="Arial;sans-serif" w:hAnsi="Arial;sans-serif"/>
          <w:b w:val="false"/>
          <w:color w:val="000000"/>
          <w:sz w:val="22"/>
        </w:rPr>
        <w:t>. Investors and potential investors are encouraged to consult the EMCOR website regularly for important information about EMCOR.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xml:space="preserve"> – </w:t>
                            </w:r>
                            <w:r>
                              <w:rPr>
                                <w:rFonts w:ascii="Arial;sans-serif" w:hAnsi="Arial;sans-serif"/>
                                <w:b w:val="false"/>
                                <w:color w:val="000000"/>
                                <w:sz w:val="20"/>
                              </w:rPr>
                              <w:t>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xml:space="preserve"> – </w:t>
                      </w:r>
                      <w:r>
                        <w:rPr>
                          <w:rFonts w:ascii="Arial;sans-serif" w:hAnsi="Arial;sans-serif"/>
                          <w:b w:val="false"/>
                          <w:color w:val="000000"/>
                          <w:sz w:val="20"/>
                        </w:rPr>
                        <w:t>MORE –</w:t>
                      </w:r>
                    </w:p>
                  </w:txbxContent>
                </v:textbox>
                <w10:wrap type="none"/>
              </v:rect>
            </w:pict>
          </mc:Fallback>
        </mc:AlternateContent>
      </w:r>
    </w:p>
    <w:tbl>
      <w:tblPr>
        <w:tblW w:w="5893" w:type="dxa"/>
        <w:jc w:val="left"/>
        <w:tblInd w:w="0" w:type="dxa"/>
        <w:tblLayout w:type="fixed"/>
        <w:tblCellMar>
          <w:top w:w="28" w:type="dxa"/>
          <w:left w:w="28" w:type="dxa"/>
          <w:bottom w:w="28" w:type="dxa"/>
          <w:right w:w="28" w:type="dxa"/>
        </w:tblCellMar>
      </w:tblPr>
      <w:tblGrid>
        <w:gridCol w:w="1826"/>
        <w:gridCol w:w="1604"/>
        <w:gridCol w:w="1609"/>
        <w:gridCol w:w="250"/>
        <w:gridCol w:w="250"/>
        <w:gridCol w:w="354"/>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2"/>
              </w:rPr>
              <w:t>EMCOR Reports Second Quarter 2026 Results</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Page 4</w:t>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Forward 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This release and related presentation contain forward-looking statements. Such statements speak only as of July 30, 2026, and EMCOR assumes no obligation to update any such forward-looking statements, unless required by law. These forward-looking statements include statements regarding anticipated future operating and financial performance; financial guidance and projections underlying that guidance; the nature and impact of our remaining performance obligations; the timing of future projects; our ability to support organic growth and balanced capital allocation, including the anticipated impact of our strategic investments; the financial and operational impact of acquisitions and/or dispositions; our competitiveness, market opportunities, and growth prospects; customer trends; and project mix. These forward-looking statements involve risks and uncertainties that could cause actual results to differ materially from those anticipated (whether expressly or implied) by the forward-looking statements. Accordingly, these statements do not guarantee future performance or events. Applicable risks and uncertainties include, but are not limited to, adverse effects of general economic conditions; domestic and international political developments and/or conflicts; changes in the specific markets for EMCOR’s services; weakness of the sectors from which we generate revenues; adverse business conditions; scarcity of skilled labor; productivity challenges; the nature and extent of supply chain disruptions impacting availability and pricing of materials; inflationary trends, including fluctuations in energy costs; the impact of legislation and/or government regulations; changes in foreign trade policy including the effect of tariffs; changes in interest rates; the lack of availability of adequate levels of surety bonding; increased competition; the impact of legal proceedings, claims, lawsuits, or governmental investigations; and unfavorable developments in the mix of our business. Certain of the risk factors associated with EMCOR’s business are also discussed in Part I, Item 1A “Risk Factors,” of the Company’s 2025 Form 10-K, and in other reports filed from time to time with the Securities and Exchange Commission and available at www.sec.gov and www.emcorgroup.com. Such risk factors should be taken into account in evaluating our business, including any 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Non-GAAP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This release and related presentation also include certain financial measures that were not prepared in accordance with U.S. generally accepted accounting principles (GAAP). Reconciliations of those non-GAAP financial measures to the most directly comparable GAAP financial measures are included in this release. The Company uses these non-GAAP measures as key performance indicators for the purpose of evaluating performance internally. We also believe that these non-GAAP measures provide investors with useful information with respect to our ongoing operations. Any non-GAAP financial measures presented are not, and should not be viewed as, substitutes for financial measures required by GAAP, have no standardized meaning prescribed by GAAP, and may not be comparable to the calculation of similar measures of other companies.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EMCOR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FINANCIAL HIGHLIGHTS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and per share information)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6"/>
        <w:gridCol w:w="1166"/>
        <w:gridCol w:w="117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quarters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br/>
              <w:t>June 30,</w:t>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5,154,892 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9,783,125 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8,171,772 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1,556,489 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733,968 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pension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736,224 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542,837 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44,833,638 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44,492,543 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45,227,690 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44,552,894 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44,990,388 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44,619,442 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45,380,744 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EMCOR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7245" w:type="dxa"/>
        <w:jc w:val="left"/>
        <w:tblInd w:w="0" w:type="dxa"/>
        <w:tblLayout w:type="fixed"/>
        <w:tblCellMar>
          <w:top w:w="28" w:type="dxa"/>
          <w:left w:w="28" w:type="dxa"/>
          <w:bottom w:w="28" w:type="dxa"/>
          <w:right w:w="28" w:type="dxa"/>
        </w:tblCellMar>
      </w:tblPr>
      <w:tblGrid>
        <w:gridCol w:w="1388"/>
        <w:gridCol w:w="1222"/>
        <w:gridCol w:w="1230"/>
        <w:gridCol w:w="109"/>
        <w:gridCol w:w="109"/>
        <w:gridCol w:w="109"/>
        <w:gridCol w:w="211"/>
        <w:gridCol w:w="1081"/>
        <w:gridCol w:w="109"/>
        <w:gridCol w:w="109"/>
        <w:gridCol w:w="109"/>
        <w:gridCol w:w="109"/>
        <w:gridCol w:w="212"/>
        <w:gridCol w:w="983"/>
        <w:gridCol w:w="155"/>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br/>
              <w:t>June 30,</w:t>
              <w:b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5,937,345 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Identifiable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1,108,828 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10,157,082 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9,291,399 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1,227,428 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expenses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340,785 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5,225,140 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4,864,940 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6,077,138 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5,616,418 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EMCOR Group,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4,079,944 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3,674,981 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10,157,082 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9,291,399 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EMCOR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Six Months Ended June 30, 2026 and 2025</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(Unaudited)</w:t>
      </w:r>
    </w:p>
    <w:tbl>
      <w:tblPr>
        <w:tblW w:w="10175" w:type="dxa"/>
        <w:jc w:val="left"/>
        <w:tblInd w:w="0" w:type="dxa"/>
        <w:tblLayout w:type="fixed"/>
        <w:tblCellMar>
          <w:top w:w="28" w:type="dxa"/>
          <w:left w:w="28" w:type="dxa"/>
          <w:bottom w:w="28" w:type="dxa"/>
          <w:right w:w="28" w:type="dxa"/>
        </w:tblCellMar>
      </w:tblPr>
      <w:tblGrid>
        <w:gridCol w:w="2601"/>
        <w:gridCol w:w="2285"/>
        <w:gridCol w:w="2298"/>
        <w:gridCol w:w="109"/>
        <w:gridCol w:w="109"/>
        <w:gridCol w:w="109"/>
        <w:gridCol w:w="211"/>
        <w:gridCol w:w="826"/>
        <w:gridCol w:w="109"/>
        <w:gridCol w:w="109"/>
        <w:gridCol w:w="109"/>
        <w:gridCol w:w="109"/>
        <w:gridCol w:w="211"/>
        <w:gridCol w:w="826"/>
        <w:gridCol w:w="154"/>
      </w:tblGrid>
      <w:tr>
        <w:trPr/>
        <w:tc>
          <w:tcPr>
            <w:tcW w:w="2601"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Excess tax benefits from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excluding the effect of businesses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acquisitions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or disposal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(938,825)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 to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related to net share settlements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contingent consideration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(231,125)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(853,234)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Cash, cash equivalents, and restricted cash at beginning of year </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Cash, cash equivalents, and restricted cash at end of period </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924,411 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487,161 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_________</w:t>
      </w:r>
    </w:p>
    <w:p>
      <w:pPr>
        <w:pStyle w:val="TextBody"/>
        <w:bidi w:val="0"/>
        <w:spacing w:lineRule="auto" w:line="288" w:before="120" w:after="283"/>
        <w:ind w:left="0" w:right="0" w:hanging="450"/>
        <w:jc w:val="both"/>
        <w:rPr>
          <w:rFonts w:ascii="Arial;sans-serif" w:hAnsi="Arial;sans-serif"/>
          <w:b w:val="false"/>
          <w:color w:val="000000"/>
          <w:sz w:val="18"/>
        </w:rPr>
      </w:pPr>
      <w:r>
        <w:rPr>
          <w:rFonts w:ascii="Arial;sans-serif" w:hAnsi="Arial;sans-serif"/>
          <w:b w:val="false"/>
          <w:color w:val="000000"/>
          <w:sz w:val="18"/>
        </w:rPr>
        <w:t>(1)Includes $0.8 million of restricted cash classified as “Prepaid expenses and other” in the Consolidated Balance Sheet as of December 31, 2024.</w:t>
      </w:r>
    </w:p>
    <w:p>
      <w:pPr>
        <w:pStyle w:val="TextBody"/>
        <w:bidi w:val="0"/>
        <w:spacing w:lineRule="auto" w:line="288" w:before="60" w:after="283"/>
        <w:ind w:left="0" w:right="0" w:hanging="450"/>
        <w:jc w:val="both"/>
        <w:rPr>
          <w:rFonts w:ascii="Arial;sans-serif" w:hAnsi="Arial;sans-serif"/>
          <w:b w:val="false"/>
          <w:color w:val="000000"/>
          <w:sz w:val="18"/>
        </w:rPr>
      </w:pPr>
      <w:r>
        <w:rPr>
          <w:rFonts w:ascii="Arial;sans-serif" w:hAnsi="Arial;sans-serif"/>
          <w:b w:val="false"/>
          <w:color w:val="000000"/>
          <w:sz w:val="18"/>
        </w:rPr>
        <w:t>(2)Includes $1.2 million of restricted cash classified as “Prepaid expenses and other” in the Consolidated Balance Sheet as of June 30, 2025.</w:t>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60" w:after="283"/>
        <w:ind w:left="0" w:right="0" w:hanging="9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EMCOR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SEGMENT INFORMATION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for percentages)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29"/>
        <w:gridCol w:w="1501"/>
        <w:gridCol w:w="1511"/>
        <w:gridCol w:w="109"/>
        <w:gridCol w:w="109"/>
        <w:gridCol w:w="109"/>
        <w:gridCol w:w="211"/>
        <w:gridCol w:w="976"/>
        <w:gridCol w:w="109"/>
        <w:gridCol w:w="109"/>
        <w:gridCol w:w="109"/>
        <w:gridCol w:w="109"/>
        <w:gridCol w:w="232"/>
        <w:gridCol w:w="234"/>
        <w:gridCol w:w="292"/>
        <w:gridCol w:w="109"/>
        <w:gridCol w:w="109"/>
        <w:gridCol w:w="109"/>
        <w:gridCol w:w="211"/>
        <w:gridCol w:w="976"/>
        <w:gridCol w:w="109"/>
        <w:gridCol w:w="109"/>
        <w:gridCol w:w="109"/>
        <w:gridCol w:w="109"/>
        <w:gridCol w:w="232"/>
        <w:gridCol w:w="234"/>
        <w:gridCol w:w="340"/>
      </w:tblGrid>
      <w:tr>
        <w:trPr/>
        <w:tc>
          <w:tcPr>
            <w:tcW w:w="172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quarters ended June 30,</w:t>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w:t>
              <w:br/>
              <w:t>Total</w:t>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 from unrelated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electrical construction and facilities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mechanical construction and facilities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building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United States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5,154,892 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4,169,836 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 building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5,154,892 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4,304,400 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29"/>
        <w:gridCol w:w="1501"/>
        <w:gridCol w:w="1511"/>
        <w:gridCol w:w="109"/>
        <w:gridCol w:w="109"/>
        <w:gridCol w:w="109"/>
        <w:gridCol w:w="211"/>
        <w:gridCol w:w="976"/>
        <w:gridCol w:w="109"/>
        <w:gridCol w:w="109"/>
        <w:gridCol w:w="109"/>
        <w:gridCol w:w="109"/>
        <w:gridCol w:w="232"/>
        <w:gridCol w:w="234"/>
        <w:gridCol w:w="292"/>
        <w:gridCol w:w="109"/>
        <w:gridCol w:w="109"/>
        <w:gridCol w:w="109"/>
        <w:gridCol w:w="211"/>
        <w:gridCol w:w="976"/>
        <w:gridCol w:w="109"/>
        <w:gridCol w:w="109"/>
        <w:gridCol w:w="109"/>
        <w:gridCol w:w="109"/>
        <w:gridCol w:w="232"/>
        <w:gridCol w:w="234"/>
        <w:gridCol w:w="340"/>
      </w:tblGrid>
      <w:tr>
        <w:trPr/>
        <w:tc>
          <w:tcPr>
            <w:tcW w:w="172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w:t>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w:t>
              <w:br/>
              <w:t>Total</w:t>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 from unrelated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electrical construction and facilities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mechanical construction and facilities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building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United States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9,783,125 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7,931,907 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 building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9,783,125 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8,171,772 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EMCOR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SEGMENT INFORMATION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for percentages)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68"/>
        <w:gridCol w:w="983"/>
        <w:gridCol w:w="986"/>
        <w:gridCol w:w="109"/>
        <w:gridCol w:w="109"/>
        <w:gridCol w:w="109"/>
        <w:gridCol w:w="211"/>
        <w:gridCol w:w="826"/>
        <w:gridCol w:w="109"/>
        <w:gridCol w:w="109"/>
        <w:gridCol w:w="109"/>
        <w:gridCol w:w="109"/>
        <w:gridCol w:w="396"/>
        <w:gridCol w:w="359"/>
        <w:gridCol w:w="899"/>
        <w:gridCol w:w="109"/>
        <w:gridCol w:w="109"/>
        <w:gridCol w:w="109"/>
        <w:gridCol w:w="211"/>
        <w:gridCol w:w="826"/>
        <w:gridCol w:w="109"/>
        <w:gridCol w:w="109"/>
        <w:gridCol w:w="109"/>
        <w:gridCol w:w="109"/>
        <w:gridCol w:w="384"/>
        <w:gridCol w:w="338"/>
        <w:gridCol w:w="992"/>
      </w:tblGrid>
      <w:tr>
        <w:trPr/>
        <w:tc>
          <w:tcPr>
            <w:tcW w:w="126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quarters ended June 30,</w:t>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Segment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Segment Revenues</w:t>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electrical construction and facilities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mechanical construction and facilities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building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United States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 building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administration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pension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412,027 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tbl>
      <w:tblPr>
        <w:tblW w:w="10205" w:type="dxa"/>
        <w:jc w:val="center"/>
        <w:tblInd w:w="0" w:type="dxa"/>
        <w:tblLayout w:type="fixed"/>
        <w:tblCellMar>
          <w:top w:w="28" w:type="dxa"/>
          <w:left w:w="28" w:type="dxa"/>
          <w:bottom w:w="28" w:type="dxa"/>
          <w:right w:w="28" w:type="dxa"/>
        </w:tblCellMar>
      </w:tblPr>
      <w:tblGrid>
        <w:gridCol w:w="1268"/>
        <w:gridCol w:w="983"/>
        <w:gridCol w:w="986"/>
        <w:gridCol w:w="109"/>
        <w:gridCol w:w="109"/>
        <w:gridCol w:w="109"/>
        <w:gridCol w:w="211"/>
        <w:gridCol w:w="826"/>
        <w:gridCol w:w="109"/>
        <w:gridCol w:w="109"/>
        <w:gridCol w:w="109"/>
        <w:gridCol w:w="109"/>
        <w:gridCol w:w="396"/>
        <w:gridCol w:w="359"/>
        <w:gridCol w:w="899"/>
        <w:gridCol w:w="109"/>
        <w:gridCol w:w="109"/>
        <w:gridCol w:w="109"/>
        <w:gridCol w:w="211"/>
        <w:gridCol w:w="826"/>
        <w:gridCol w:w="109"/>
        <w:gridCol w:w="109"/>
        <w:gridCol w:w="109"/>
        <w:gridCol w:w="109"/>
        <w:gridCol w:w="384"/>
        <w:gridCol w:w="338"/>
        <w:gridCol w:w="992"/>
      </w:tblGrid>
      <w:tr>
        <w:trPr/>
        <w:tc>
          <w:tcPr>
            <w:tcW w:w="126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w:t>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Segment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Segment Revenues</w:t>
            </w:r>
          </w:p>
        </w:tc>
      </w:tr>
      <w:tr>
        <w:trPr/>
        <w:tc>
          <w:tcPr>
            <w:tcW w:w="3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electrical construction and facilities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mechanical construction and facilities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building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United States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 building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administration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951,185 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733,968 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pension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736,224 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
        <w:jc w:val="center"/>
        <w:rPr/>
      </w:pPr>
      <w:r>
        <w:rPr/>
      </w:r>
    </w:p>
    <w:p>
      <w:pPr>
        <w:pStyle w:val="TextBody"/>
        <w:bidi w:val="0"/>
        <w:spacing w:before="100" w:after="283"/>
        <w:ind w:left="0" w:right="0" w:firstLine="45"/>
        <w:jc w:val="center"/>
        <w:rPr/>
      </w:pPr>
      <w:r>
        <w:rPr/>
      </w:r>
    </w:p>
    <w:p>
      <w:pPr>
        <w:pStyle w:val="TextBody"/>
        <w:bidi w:val="0"/>
        <w:spacing w:before="100" w:after="283"/>
        <w:ind w:left="0" w:right="0" w:firstLine="45"/>
        <w:jc w:val="center"/>
        <w:rPr/>
      </w:pPr>
      <w:r>
        <w:rPr/>
      </w:r>
    </w:p>
    <w:p>
      <w:pPr>
        <w:pStyle w:val="TextBody"/>
        <w:bidi w:val="0"/>
        <w:spacing w:before="100" w:after="283"/>
        <w:ind w:left="0" w:right="0" w:firstLine="45"/>
        <w:jc w:val="center"/>
        <w:rPr/>
      </w:pPr>
      <w:r>
        <w:rPr/>
      </w:r>
    </w:p>
    <w:p>
      <w:pPr>
        <w:pStyle w:val="TextBody"/>
        <w:bidi w:val="0"/>
        <w:spacing w:before="1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EMCOR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ORGANIC REVENUE GROWTH</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for percentages) (Unaudited)</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provides a reconciliation between organic revenue growth, a non-GAAP measure, and total revenue growth for the quarter and six months ended June 30, 2026. </w:t>
      </w:r>
    </w:p>
    <w:p>
      <w:pPr>
        <w:pStyle w:val="TextBody"/>
        <w:bidi w:val="0"/>
        <w:spacing w:before="0" w:after="0"/>
        <w:jc w:val="both"/>
        <w:rPr/>
      </w:pPr>
      <w:r>
        <w:rPr/>
      </w:r>
    </w:p>
    <w:p>
      <w:pPr>
        <w:pStyle w:val="TextBody"/>
        <w:bidi w:val="0"/>
        <w:spacing w:before="0" w:after="0"/>
        <w:jc w:val="both"/>
        <w:rPr/>
      </w:pPr>
      <w:r>
        <w:rPr/>
      </w:r>
    </w:p>
    <w:tbl>
      <w:tblPr>
        <w:tblW w:w="9452" w:type="dxa"/>
        <w:jc w:val="center"/>
        <w:tblInd w:w="0" w:type="dxa"/>
        <w:tblLayout w:type="fixed"/>
        <w:tblCellMar>
          <w:top w:w="28" w:type="dxa"/>
          <w:left w:w="28" w:type="dxa"/>
          <w:bottom w:w="28" w:type="dxa"/>
          <w:right w:w="28" w:type="dxa"/>
        </w:tblCellMar>
      </w:tblPr>
      <w:tblGrid>
        <w:gridCol w:w="1432"/>
        <w:gridCol w:w="1258"/>
        <w:gridCol w:w="1269"/>
        <w:gridCol w:w="109"/>
        <w:gridCol w:w="109"/>
        <w:gridCol w:w="109"/>
        <w:gridCol w:w="211"/>
        <w:gridCol w:w="826"/>
        <w:gridCol w:w="109"/>
        <w:gridCol w:w="109"/>
        <w:gridCol w:w="109"/>
        <w:gridCol w:w="109"/>
        <w:gridCol w:w="255"/>
        <w:gridCol w:w="256"/>
        <w:gridCol w:w="271"/>
        <w:gridCol w:w="109"/>
        <w:gridCol w:w="109"/>
        <w:gridCol w:w="109"/>
        <w:gridCol w:w="226"/>
        <w:gridCol w:w="1045"/>
        <w:gridCol w:w="116"/>
        <w:gridCol w:w="116"/>
        <w:gridCol w:w="116"/>
        <w:gridCol w:w="116"/>
        <w:gridCol w:w="255"/>
        <w:gridCol w:w="256"/>
        <w:gridCol w:w="338"/>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quarter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br/>
              <w:t>June 30, 2026</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revenue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1,611,353 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Incremental revenues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Impact of lost revenues resulting from sale of </w:t>
              <w:br/>
              <w:t>United Kingdom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revenue growth, a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815,843 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1,447,885 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ind w:left="0" w:right="0" w:firstLine="45"/>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
        <w:jc w:val="center"/>
        <w:rPr>
          <w:rFonts w:ascii="Arial;sans-serif" w:hAnsi="Arial;sans-serif"/>
          <w:b/>
          <w:color w:val="000000"/>
          <w:sz w:val="20"/>
        </w:rPr>
      </w:pPr>
      <w:r>
        <w:rPr>
          <w:rFonts w:ascii="Arial;sans-serif" w:hAnsi="Arial;sans-serif"/>
          <w:b/>
          <w:color w:val="000000"/>
          <w:sz w:val="20"/>
        </w:rPr>
        <w:t>EMCOR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OTHER NON-GAAP MEASURES </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(In thousands, except for percentages and per share data) (Unaudited)</w:t>
      </w:r>
    </w:p>
    <w:p>
      <w:pPr>
        <w:pStyle w:val="TextBody"/>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In our press release, we provide non-GAAP operating income, non-GAAP operating margin, non-GAAP net income, and non-GAAP diluted earnings per common share for the six months ended June 30, 2025. The following tables provide a reconciliation between these amounts determined on a non-GAAP basis and the most directly comparable GAAP measures.</w:t>
      </w:r>
    </w:p>
    <w:tbl>
      <w:tblPr>
        <w:tblW w:w="8286" w:type="dxa"/>
        <w:jc w:val="center"/>
        <w:tblInd w:w="0" w:type="dxa"/>
        <w:tblLayout w:type="fixed"/>
        <w:tblCellMar>
          <w:top w:w="28" w:type="dxa"/>
          <w:left w:w="28" w:type="dxa"/>
          <w:bottom w:w="28" w:type="dxa"/>
          <w:right w:w="28" w:type="dxa"/>
        </w:tblCellMar>
      </w:tblPr>
      <w:tblGrid>
        <w:gridCol w:w="1916"/>
        <w:gridCol w:w="1687"/>
        <w:gridCol w:w="1692"/>
        <w:gridCol w:w="109"/>
        <w:gridCol w:w="109"/>
        <w:gridCol w:w="109"/>
        <w:gridCol w:w="211"/>
        <w:gridCol w:w="826"/>
        <w:gridCol w:w="109"/>
        <w:gridCol w:w="109"/>
        <w:gridCol w:w="109"/>
        <w:gridCol w:w="109"/>
        <w:gridCol w:w="211"/>
        <w:gridCol w:w="82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br/>
              <w:t>June 30,</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733,968 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expenses related to the acquisition of Miller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951,185 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743,321 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18" w:type="dxa"/>
        <w:jc w:val="center"/>
        <w:tblInd w:w="0" w:type="dxa"/>
        <w:tblLayout w:type="fixed"/>
        <w:tblCellMar>
          <w:top w:w="28" w:type="dxa"/>
          <w:left w:w="28" w:type="dxa"/>
          <w:bottom w:w="28" w:type="dxa"/>
          <w:right w:w="28" w:type="dxa"/>
        </w:tblCellMar>
      </w:tblPr>
      <w:tblGrid>
        <w:gridCol w:w="1915"/>
        <w:gridCol w:w="1686"/>
        <w:gridCol w:w="1693"/>
        <w:gridCol w:w="109"/>
        <w:gridCol w:w="109"/>
        <w:gridCol w:w="109"/>
        <w:gridCol w:w="232"/>
        <w:gridCol w:w="186"/>
        <w:gridCol w:w="463"/>
        <w:gridCol w:w="186"/>
        <w:gridCol w:w="186"/>
        <w:gridCol w:w="186"/>
        <w:gridCol w:w="232"/>
        <w:gridCol w:w="186"/>
        <w:gridCol w:w="540"/>
      </w:tblGrid>
      <w:tr>
        <w:trPr/>
        <w:tc>
          <w:tcPr>
            <w:tcW w:w="19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br/>
              <w:t>June 30,</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expenses related to the acquisition of Miller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9245" w:type="dxa"/>
        <w:jc w:val="center"/>
        <w:tblInd w:w="0" w:type="dxa"/>
        <w:tblLayout w:type="fixed"/>
        <w:tblCellMar>
          <w:top w:w="28" w:type="dxa"/>
          <w:left w:w="28" w:type="dxa"/>
          <w:bottom w:w="28" w:type="dxa"/>
          <w:right w:w="28" w:type="dxa"/>
        </w:tblCellMar>
      </w:tblPr>
      <w:tblGrid>
        <w:gridCol w:w="2266"/>
        <w:gridCol w:w="1984"/>
        <w:gridCol w:w="2004"/>
        <w:gridCol w:w="109"/>
        <w:gridCol w:w="109"/>
        <w:gridCol w:w="109"/>
        <w:gridCol w:w="211"/>
        <w:gridCol w:w="826"/>
        <w:gridCol w:w="109"/>
        <w:gridCol w:w="109"/>
        <w:gridCol w:w="109"/>
        <w:gridCol w:w="109"/>
        <w:gridCol w:w="211"/>
        <w:gridCol w:w="826"/>
        <w:gridCol w:w="154"/>
      </w:tblGrid>
      <w:tr>
        <w:trPr/>
        <w:tc>
          <w:tcPr>
            <w:tcW w:w="2266"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br/>
              <w:t>June 30,</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542,837 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expenses related to the acquisition of Miller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of transaction expenses related to the acquisition of Miller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89" w:type="dxa"/>
        <w:jc w:val="center"/>
        <w:tblInd w:w="0" w:type="dxa"/>
        <w:tblLayout w:type="fixed"/>
        <w:tblCellMar>
          <w:top w:w="28" w:type="dxa"/>
          <w:left w:w="28" w:type="dxa"/>
          <w:bottom w:w="28" w:type="dxa"/>
          <w:right w:w="28" w:type="dxa"/>
        </w:tblCellMar>
      </w:tblPr>
      <w:tblGrid>
        <w:gridCol w:w="2261"/>
        <w:gridCol w:w="1993"/>
        <w:gridCol w:w="2000"/>
        <w:gridCol w:w="109"/>
        <w:gridCol w:w="109"/>
        <w:gridCol w:w="109"/>
        <w:gridCol w:w="217"/>
        <w:gridCol w:w="634"/>
        <w:gridCol w:w="112"/>
        <w:gridCol w:w="112"/>
        <w:gridCol w:w="112"/>
        <w:gridCol w:w="112"/>
        <w:gridCol w:w="217"/>
        <w:gridCol w:w="634"/>
        <w:gridCol w:w="158"/>
      </w:tblGrid>
      <w:tr>
        <w:trPr/>
        <w:tc>
          <w:tcPr>
            <w:tcW w:w="2261"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br/>
              <w:t>June 30,</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expenses related to the acquisition of Miller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 of transaction expenses related to the acquisition of Miller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left"/>
        <w:rPr/>
      </w:pPr>
      <w:r>
        <w:rPr/>
      </w:r>
    </w:p>
    <w:p>
      <w:pPr>
        <w:pStyle w:val="TextBody"/>
        <w:bidi w:val="0"/>
        <w:spacing w:before="0" w:after="0"/>
        <w:ind w:left="0" w:right="0" w:firstLine="45"/>
        <w:jc w:val="left"/>
        <w:rPr/>
      </w:pPr>
      <w:r>
        <w:rPr/>
      </w:r>
    </w:p>
    <w:p>
      <w:pPr>
        <w:pStyle w:val="TextBody"/>
        <w:bidi w:val="0"/>
        <w:spacing w:before="0" w:after="0"/>
        <w:ind w:left="0" w:right="0" w:firstLine="45"/>
        <w:jc w:val="left"/>
        <w:rPr/>
      </w:pPr>
      <w:r>
        <w:rPr/>
      </w:r>
    </w:p>
    <w:p>
      <w:pPr>
        <w:pStyle w:val="TextBody"/>
        <w:bidi w:val="0"/>
        <w:spacing w:before="0" w:after="0"/>
        <w:ind w:left="0" w:right="0" w:firstLine="45"/>
        <w:jc w:val="center"/>
        <w:rPr/>
      </w:pPr>
      <w:r>
        <w:rPr/>
      </w:r>
    </w:p>
    <w:p>
      <w:pPr>
        <w:pStyle w:val="TextBody"/>
        <w:bidi w:val="0"/>
        <w:spacing w:lineRule="auto" w:line="288"/>
        <w:jc w:val="center"/>
        <w:rPr>
          <w:rFonts w:ascii="Arial;sans-serif" w:hAnsi="Arial;sans-serif"/>
          <w:b w:val="false"/>
          <w:color w:val="000000"/>
          <w:sz w:val="16"/>
        </w:rPr>
      </w:pPr>
      <w:r>
        <w:rPr>
          <w:rFonts w:ascii="Arial;sans-serif" w:hAnsi="Arial;sans-serif"/>
          <w:b w:val="false"/>
          <w:color w:val="000000"/>
          <w:sz w:val="16"/>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3579</Words>
  <Characters>20454</Characters>
  <CharactersWithSpaces>23653</CharactersWithSpaces>
  <Paragraphs>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