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Guzzi Anthony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MERRITT SEVEN</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NORWALK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EMCOR Group, Inc.</w:t>
              </w:r>
            </w:hyperlink>
            <w:r>
              <w:rPr/>
              <w:t xml:space="preserve"> [ </w:t>
            </w:r>
            <w:r>
              <w:rPr>
                <w:rFonts w:ascii="Times;serif" w:hAnsi="Times;serif"/>
                <w:color w:val="0000FF"/>
                <w:sz w:val="24"/>
                <w:shd w:fill="FFFFFF" w:val="clear"/>
              </w:rPr>
              <w:t>EME</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President and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04/30/2026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5"/>
        <w:gridCol w:w="927"/>
        <w:gridCol w:w="795"/>
        <w:gridCol w:w="616"/>
        <w:gridCol w:w="350"/>
        <w:gridCol w:w="841"/>
        <w:gridCol w:w="444"/>
        <w:gridCol w:w="611"/>
        <w:gridCol w:w="1191"/>
        <w:gridCol w:w="997"/>
        <w:gridCol w:w="12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04/30/2026</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167,312</w:t>
            </w:r>
            <w:r>
              <w:rPr>
                <w:rFonts w:ascii="Times;serif" w:hAnsi="Times;serif"/>
                <w:color w:val="008000"/>
                <w:position w:val="7"/>
                <w:sz w:val="16"/>
                <w:sz w:val="20"/>
                <w:shd w:fill="FFFFFF" w:val="clear"/>
              </w:rPr>
              <w:t>(1)</w:t>
            </w:r>
            <w:r>
              <w:rPr/>
              <w:t xml:space="preserve"> </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5,790</w:t>
            </w:r>
            <w:r>
              <w:rPr>
                <w:rFonts w:ascii="Times;serif" w:hAnsi="Times;serif"/>
                <w:color w:val="008000"/>
                <w:position w:val="7"/>
                <w:sz w:val="16"/>
                <w:sz w:val="20"/>
                <w:shd w:fill="FFFFFF" w:val="clear"/>
              </w:rPr>
              <w:t>(2)</w:t>
            </w:r>
            <w:r>
              <w:rPr/>
              <w:t xml:space="preserve"> </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Guzzi Family Irrevocable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shares issuable in respect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were transferred by the reporting person as a gift to the Guzzi Family Irrevocable Trust (the "Trust") for the benefit of the reporting person's children. The reporting person's spouse is trustee of the Trust. Such transfer was reported on a previously filed Form 4. The reporting person disclaims beneficial ownership of such securities.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Maxine L. Mauricio,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6045" TargetMode="External"/><Relationship Id="rId5" Type="http://schemas.openxmlformats.org/officeDocument/2006/relationships/hyperlink" Target="http://www.sec.gov/cgi-bin/browse-edgar?action=getcompany&amp;CIK=00001056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635</Words>
  <Characters>3455</Characters>
  <CharactersWithSpaces>4027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