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Altmeyer John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1330 SAXTON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EMCOR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07/31/2025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MECHANICSBURG PA</w:t>
            </w:r>
          </w:p>
        </w:tc>
        <w:tc>
          <w:tcPr>
            <w:tcW w:w="1540" w:type="dxa"/>
            <w:vAlign w:val="bottom"/>
          </w:tcPr>
          <w:p>
            <w:pPr>
              <w:jc w:val="right"/>
              <w:ind w:right="543"/>
              <w:spacing w:after="0"/>
              <w:rPr>
                <w:sz w:val="20"/>
                <w:szCs w:val="20"/>
                <w:color w:val="auto"/>
              </w:rPr>
            </w:pPr>
            <w:r>
              <w:rPr>
                <w:rFonts w:ascii="Times New Roman" w:cs="Times New Roman" w:eastAsia="Times New Roman" w:hAnsi="Times New Roman"/>
                <w:sz w:val="17"/>
                <w:szCs w:val="17"/>
                <w:color w:val="0000FF"/>
              </w:rPr>
              <w:t>17055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00"/>
              <w:spacing w:after="0"/>
              <w:rPr>
                <w:sz w:val="20"/>
                <w:szCs w:val="20"/>
                <w:color w:val="auto"/>
              </w:rPr>
            </w:pPr>
            <w:r>
              <w:rPr>
                <w:rFonts w:ascii="Arial" w:cs="Arial" w:eastAsia="Arial" w:hAnsi="Arial"/>
                <w:sz w:val="13"/>
                <w:szCs w:val="13"/>
                <w:color w:val="auto"/>
              </w:rPr>
              <w:t>(State)</w:t>
            </w:r>
          </w:p>
        </w:tc>
        <w:tc>
          <w:tcPr>
            <w:tcW w:w="154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07/31/2025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20"/>
              <w:spacing w:after="0" w:line="320" w:lineRule="exact"/>
              <w:rPr>
                <w:sz w:val="20"/>
                <w:szCs w:val="20"/>
                <w:color w:val="auto"/>
              </w:rPr>
            </w:pPr>
            <w:r>
              <w:rPr>
                <w:rFonts w:ascii="Times New Roman" w:cs="Times New Roman" w:eastAsia="Times New Roman" w:hAnsi="Times New Roman"/>
                <w:sz w:val="34"/>
                <w:szCs w:val="34"/>
                <w:color w:val="0000FF"/>
                <w:vertAlign w:val="subscript"/>
              </w:rPr>
              <w:t>2</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36,108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issued in respect of already outstanding RSUs as a consequence of a dividend paid on the Company's common stock on July 31, 2025. The RSUs issued on July 31, 2025 are subject to the same vesting and forfeiture provisions as the RSUs in respect of which they have been issued.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issuable in respect of RSUs.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Maxine L. Mauricio,</w:t>
            </w:r>
          </w:p>
        </w:tc>
        <w:tc>
          <w:tcPr>
            <w:tcW w:w="6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08/01/2025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43846" TargetMode="External"/><Relationship Id="rId14" Type="http://schemas.openxmlformats.org/officeDocument/2006/relationships/hyperlink" Target="http://www.sec.gov/cgi-bin/browse-edgar?action=getcompany&amp;CIK=00001056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2025-08-01T10:14:18Z</dcterms:created>
  <dcterms:modified xsi:type="dcterms:W3CDTF">2025-08-01T10:14:18Z</dcterms:modified>
</cp:coreProperties>
</file>