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Mauricio Maxine Lum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CAO, EVP &amp;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6</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28,919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January 30, 2026. The RSUs issued on January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Jarrett R. Szeftel, Attorney-in- </w:t>
      </w:r>
      <w:r>
        <w:rPr>
          <w:rFonts w:ascii="Times New Roman" w:cs="Times New Roman" w:eastAsia="Times New Roman" w:hAnsi="Times New Roman"/>
          <w:sz w:val="34"/>
          <w:szCs w:val="34"/>
          <w:color w:val="0000FF"/>
          <w:vertAlign w:val="subscript"/>
        </w:rPr>
        <w:t>02/02/2026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3011"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2026-02-02T10:46:29Z</dcterms:created>
  <dcterms:modified xsi:type="dcterms:W3CDTF">2026-02-02T10:46:29Z</dcterms:modified>
</cp:coreProperties>
</file>