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26035</wp:posOffset>
            </wp:positionV>
            <wp:extent cx="10972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-161925</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1" w:lineRule="exact"/>
        <w:rPr>
          <w:sz w:val="24"/>
          <w:szCs w:val="24"/>
          <w:color w:val="auto"/>
        </w:rPr>
      </w:pPr>
    </w:p>
    <w:p>
      <w:pPr>
        <w:ind w:left="1160" w:hanging="916"/>
        <w:spacing w:after="0"/>
        <w:tabs>
          <w:tab w:leader="none" w:pos="116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5" w:lineRule="exact"/>
        <w:rPr>
          <w:sz w:val="24"/>
          <w:szCs w:val="24"/>
          <w:color w:val="auto"/>
        </w:rPr>
      </w:pPr>
    </w:p>
    <w:p>
      <w:pPr>
        <w:ind w:left="1160" w:hanging="902"/>
        <w:spacing w:after="0"/>
        <w:tabs>
          <w:tab w:leader="none" w:pos="116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color w:val="auto"/>
        </w:rPr>
        <w:t>TRANSITION REPORT PURSUANT TO SECTION 13 OR 15(d) OF THE SECURITIES EXCHANGE ACT OF 1934</w:t>
      </w:r>
    </w:p>
    <w:p>
      <w:pPr>
        <w:spacing w:after="0" w:line="122"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1-8267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36830</wp:posOffset>
            </wp:positionV>
            <wp:extent cx="4337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EMCOR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20320</wp:posOffset>
            </wp:positionV>
            <wp:extent cx="4337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11-2125338</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8"/>
        </w:trPr>
        <w:tc>
          <w:tcPr>
            <w:tcW w:w="1320" w:type="dxa"/>
            <w:vAlign w:val="bottom"/>
          </w:tcPr>
          <w:p>
            <w:pPr>
              <w:spacing w:after="0"/>
              <w:rPr>
                <w:sz w:val="15"/>
                <w:szCs w:val="15"/>
                <w:color w:val="auto"/>
              </w:rPr>
            </w:pPr>
          </w:p>
        </w:tc>
        <w:tc>
          <w:tcPr>
            <w:tcW w:w="3480" w:type="dxa"/>
            <w:vAlign w:val="bottom"/>
            <w:gridSpan w:val="3"/>
          </w:tcPr>
          <w:p>
            <w:pPr>
              <w:jc w:val="center"/>
              <w:ind w:left="9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5"/>
                <w:szCs w:val="15"/>
                <w:color w:val="auto"/>
              </w:rPr>
            </w:pPr>
          </w:p>
        </w:tc>
      </w:tr>
      <w:tr>
        <w:trPr>
          <w:trHeight w:val="225"/>
        </w:trPr>
        <w:tc>
          <w:tcPr>
            <w:tcW w:w="1320" w:type="dxa"/>
            <w:vAlign w:val="bottom"/>
          </w:tcPr>
          <w:p>
            <w:pPr>
              <w:spacing w:after="0"/>
              <w:rPr>
                <w:sz w:val="19"/>
                <w:szCs w:val="19"/>
                <w:color w:val="auto"/>
              </w:rPr>
            </w:pPr>
          </w:p>
        </w:tc>
        <w:tc>
          <w:tcPr>
            <w:tcW w:w="34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Identification Number)</w:t>
            </w:r>
          </w:p>
        </w:tc>
        <w:tc>
          <w:tcPr>
            <w:tcW w:w="20" w:type="dxa"/>
            <w:vAlign w:val="bottom"/>
          </w:tcPr>
          <w:p>
            <w:pPr>
              <w:spacing w:after="0"/>
              <w:rPr>
                <w:sz w:val="19"/>
                <w:szCs w:val="19"/>
                <w:color w:val="auto"/>
              </w:rPr>
            </w:pPr>
          </w:p>
        </w:tc>
      </w:tr>
      <w:tr>
        <w:trPr>
          <w:trHeight w:val="230"/>
        </w:trPr>
        <w:tc>
          <w:tcPr>
            <w:tcW w:w="1320" w:type="dxa"/>
            <w:vAlign w:val="bottom"/>
          </w:tcPr>
          <w:p>
            <w:pPr>
              <w:spacing w:after="0"/>
              <w:rPr>
                <w:sz w:val="19"/>
                <w:szCs w:val="19"/>
                <w:color w:val="auto"/>
              </w:rPr>
            </w:pPr>
          </w:p>
        </w:tc>
        <w:tc>
          <w:tcPr>
            <w:tcW w:w="34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1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5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Borders>
              <w:bottom w:val="single" w:sz="8" w:color="auto"/>
            </w:tcBorders>
            <w:gridSpan w:val="3"/>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1320" w:type="dxa"/>
            <w:vAlign w:val="bottom"/>
          </w:tcPr>
          <w:p>
            <w:pPr>
              <w:spacing w:after="0"/>
              <w:rPr>
                <w:sz w:val="19"/>
                <w:szCs w:val="19"/>
                <w:color w:val="auto"/>
              </w:rPr>
            </w:pPr>
          </w:p>
        </w:tc>
        <w:tc>
          <w:tcPr>
            <w:tcW w:w="34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22"/>
        </w:trPr>
        <w:tc>
          <w:tcPr>
            <w:tcW w:w="13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320" w:type="dxa"/>
            <w:vAlign w:val="bottom"/>
          </w:tcPr>
          <w:p>
            <w:pPr>
              <w:spacing w:after="0"/>
              <w:rPr>
                <w:sz w:val="19"/>
                <w:szCs w:val="19"/>
                <w:color w:val="auto"/>
              </w:rPr>
            </w:pPr>
          </w:p>
        </w:tc>
        <w:tc>
          <w:tcPr>
            <w:tcW w:w="8620" w:type="dxa"/>
            <w:vAlign w:val="bottom"/>
            <w:gridSpan w:val="8"/>
          </w:tcPr>
          <w:p>
            <w:pPr>
              <w:ind w:left="23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1320" w:type="dxa"/>
            <w:vAlign w:val="bottom"/>
          </w:tcPr>
          <w:p>
            <w:pPr>
              <w:spacing w:after="0"/>
              <w:rPr>
                <w:sz w:val="22"/>
                <w:szCs w:val="22"/>
                <w:color w:val="auto"/>
              </w:rPr>
            </w:pPr>
          </w:p>
        </w:tc>
        <w:tc>
          <w:tcPr>
            <w:tcW w:w="348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2"/>
                <w:szCs w:val="22"/>
                <w:color w:val="auto"/>
              </w:rPr>
            </w:pPr>
          </w:p>
        </w:tc>
      </w:tr>
      <w:tr>
        <w:trPr>
          <w:trHeight w:val="232"/>
        </w:trPr>
        <w:tc>
          <w:tcPr>
            <w:tcW w:w="1320" w:type="dxa"/>
            <w:vAlign w:val="bottom"/>
            <w:tcBorders>
              <w:top w:val="single" w:sz="8" w:color="auto"/>
            </w:tcBorders>
          </w:tcPr>
          <w:p>
            <w:pPr>
              <w:spacing w:after="0"/>
              <w:rPr>
                <w:sz w:val="20"/>
                <w:szCs w:val="20"/>
                <w:color w:val="auto"/>
              </w:rPr>
            </w:pPr>
          </w:p>
        </w:tc>
        <w:tc>
          <w:tcPr>
            <w:tcW w:w="3040" w:type="dxa"/>
            <w:vAlign w:val="bottom"/>
            <w:tcBorders>
              <w:top w:val="single" w:sz="8" w:color="auto"/>
            </w:tcBorders>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EME</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20" w:type="dxa"/>
            <w:vAlign w:val="bottom"/>
            <w:tcBorders>
              <w:top w:val="single" w:sz="8" w:color="auto"/>
            </w:tcBorders>
          </w:tcPr>
          <w:p>
            <w:pPr>
              <w:spacing w:after="0"/>
              <w:rPr>
                <w:sz w:val="20"/>
                <w:szCs w:val="20"/>
                <w:color w:val="auto"/>
              </w:rPr>
            </w:pPr>
          </w:p>
        </w:tc>
      </w:tr>
    </w:tbl>
    <w:p>
      <w:pPr>
        <w:spacing w:after="0" w:line="8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36" w:lineRule="exact"/>
        <w:rPr>
          <w:sz w:val="24"/>
          <w:szCs w:val="24"/>
          <w:color w:val="auto"/>
        </w:rPr>
      </w:pPr>
    </w:p>
    <w:p>
      <w:pPr>
        <w:jc w:val="both"/>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1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89"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 w:lineRule="exact"/>
        <w:rPr>
          <w:sz w:val="24"/>
          <w:szCs w:val="24"/>
          <w:color w:val="auto"/>
        </w:rPr>
      </w:pPr>
    </w:p>
    <w:p>
      <w:pPr>
        <w:ind w:left="460"/>
        <w:spacing w:after="0" w:line="207" w:lineRule="exact"/>
        <w:tabs>
          <w:tab w:leader="none" w:pos="94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highlight w:val="black"/>
        </w:rPr>
        <w:t>☒</w:t>
      </w:r>
    </w:p>
    <w:p>
      <w:pPr>
        <w:spacing w:after="0" w:line="10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Applicable Only To Corporate Issuers</w:t>
      </w:r>
    </w:p>
    <w:p>
      <w:pPr>
        <w:spacing w:after="0" w:line="8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of Common Stock outstanding as of the close of business on April 23, 2026: 44,440,278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EMCOR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223"/>
        </w:trPr>
        <w:tc>
          <w:tcPr>
            <w:tcW w:w="20" w:type="dxa"/>
            <w:vAlign w:val="bottom"/>
          </w:tcPr>
          <w:p>
            <w:pPr>
              <w:spacing w:after="0"/>
              <w:rPr>
                <w:sz w:val="19"/>
                <w:szCs w:val="19"/>
                <w:color w:val="auto"/>
              </w:rPr>
            </w:pPr>
          </w:p>
        </w:tc>
        <w:tc>
          <w:tcPr>
            <w:tcW w:w="2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8280" w:type="dxa"/>
            <w:vAlign w:val="bottom"/>
            <w:gridSpan w:val="10"/>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8340" w:type="dxa"/>
            <w:vAlign w:val="bottom"/>
            <w:gridSpan w:val="11"/>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Sheets - as of March 31, 2026 and December 31, 2025</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March 31, 2026 and 2025</w:t>
            </w:r>
          </w:p>
        </w:tc>
        <w:tc>
          <w:tcPr>
            <w:tcW w:w="2780" w:type="dxa"/>
            <w:vAlign w:val="bottom"/>
            <w:gridSpan w:val="2"/>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2026 and 2025</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1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 three months ended March 31, 2026 and 2025</w:t>
            </w:r>
          </w:p>
        </w:tc>
        <w:tc>
          <w:tcPr>
            <w:tcW w:w="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 three months ended March 31, 2026 and 2025</w:t>
            </w:r>
          </w:p>
        </w:tc>
        <w:tc>
          <w:tcPr>
            <w:tcW w:w="30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60" w:type="dxa"/>
            <w:vAlign w:val="bottom"/>
            <w:gridSpan w:val="5"/>
          </w:tcPr>
          <w:p>
            <w:pPr>
              <w:spacing w:after="0"/>
              <w:rPr>
                <w:sz w:val="18"/>
                <w:szCs w:val="18"/>
                <w:color w:val="auto"/>
              </w:rPr>
            </w:pPr>
          </w:p>
        </w:tc>
        <w:tc>
          <w:tcPr>
            <w:tcW w:w="3080" w:type="dxa"/>
            <w:vAlign w:val="bottom"/>
            <w:gridSpan w:val="3"/>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20" w:type="dxa"/>
            <w:vAlign w:val="bottom"/>
            <w:tcBorders>
              <w:top w:val="single" w:sz="8" w:color="0000FF"/>
            </w:tcBorders>
            <w:gridSpan w:val="3"/>
          </w:tcPr>
          <w:p>
            <w:pPr>
              <w:spacing w:after="0"/>
              <w:rPr>
                <w:sz w:val="18"/>
                <w:szCs w:val="18"/>
                <w:color w:val="auto"/>
              </w:rPr>
            </w:pPr>
          </w:p>
        </w:tc>
        <w:tc>
          <w:tcPr>
            <w:tcW w:w="342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80" w:type="dxa"/>
            <w:vAlign w:val="bottom"/>
            <w:gridSpan w:val="9"/>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4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80" w:type="dxa"/>
            <w:vAlign w:val="bottom"/>
            <w:gridSpan w:val="12"/>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500" w:type="dxa"/>
            <w:vAlign w:val="bottom"/>
            <w:gridSpan w:val="6"/>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8080" w:type="dxa"/>
            <w:vAlign w:val="bottom"/>
            <w:gridSpan w:val="9"/>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520" w:type="dxa"/>
            <w:vAlign w:val="bottom"/>
            <w:gridSpan w:val="13"/>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You can identify these statements by the fact that they do not relate strictly to historical or current facts. They generally contain words such as “anticipate,” “estimate,” “expect,” “project,” “intend,” “plan,” “believe,” “may,” “can,” “could,” “might,” variations of such wording and other words or phrases of similar meaning. Forward-looking statements in this report include discussions of our future operating or financial performance and other forward-looking commentary regarding aspects of our business, including market share growth, gross profit, remaining performance obligations, project mix, projects with varying profit margins and contractual terms, the financial impact and integration of acquisitions, selling, general and administrative expenses, anticipated dividend payments, our ability to maintain a strong safety record, and trends in our business, and other characterizations of future events or circumstances, such as the effects of supply chain disruptions, delays, and price fluctuations, including those potentially caused by tariffs. Each forward-looking statement included in this report is subject to risks and uncertainties, including those identified in the “Management’s Discussion and Analysis of Financial Condition and Results of Operations” section, and other sections of this report, and in our Form 10-K for the year ended December 31, 2025, including, without limitation, the “Risk Factors” section of such Form 10-K. Applicable risks and uncertainties include, but are not limited to:</w:t>
      </w:r>
    </w:p>
    <w:p>
      <w:pPr>
        <w:spacing w:after="0" w:line="84" w:lineRule="exact"/>
        <w:rPr>
          <w:sz w:val="20"/>
          <w:szCs w:val="20"/>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general economic conditions;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developments and/or conflicts;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specific markets for EMCOR’s services;</w:t>
      </w:r>
    </w:p>
    <w:p>
      <w:pPr>
        <w:spacing w:after="0" w:line="117"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business conditions, including the weakness of the sectors from which we generate revenues, scarcity of skilled labor, productivity challenges, the nature and extent of supply chain disruptions impacting availability and pricing of materials, and inflationary trends more generally, including fluctuations in energy costs;</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and/or government regulations;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trade policy, including the effect of tariffs;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adequate levels of surety bonding;</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proceedings, claims, lawsuits, or governmental investigations;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mix of our business;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Such risks and uncertainties could cause actual results to differ materially from those that might be anticipated from, or projected or implied by, our forward-looking statements. Accordingly, these statements do not guarantee future performance or events. The forward-looking statements contained in this report speak only as of the filing date of this report. We undertake no obligation to update any forward-looking statements unless required by law. However, any further disclosures made on related subjects in our subsequent reports filed with the Securities and Exchange Commission (the “SEC”) should be consulted. We caution investors not to place undue reliance on forward-looking statements, due to their inherent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10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876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0" w:type="dxa"/>
            <w:vAlign w:val="bottom"/>
          </w:tcPr>
          <w:p>
            <w:pPr>
              <w:spacing w:after="0"/>
              <w:rPr>
                <w:sz w:val="1"/>
                <w:szCs w:val="1"/>
                <w:color w:val="auto"/>
              </w:rPr>
            </w:pPr>
          </w:p>
        </w:tc>
      </w:tr>
      <w:tr>
        <w:trPr>
          <w:trHeight w:val="229"/>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$22,056 and $22,757, respectively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4,241,177</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337,717</w:t>
            </w:r>
          </w:p>
        </w:tc>
        <w:tc>
          <w:tcPr>
            <w:tcW w:w="0" w:type="dxa"/>
            <w:vAlign w:val="bottom"/>
          </w:tcPr>
          <w:p>
            <w:pPr>
              <w:spacing w:after="0"/>
              <w:rPr>
                <w:sz w:val="1"/>
                <w:szCs w:val="1"/>
                <w:color w:val="auto"/>
              </w:rPr>
            </w:pPr>
          </w:p>
        </w:tc>
      </w:tr>
      <w:tr>
        <w:trPr>
          <w:trHeight w:val="23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126,252</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0" w:type="dxa"/>
            <w:vAlign w:val="bottom"/>
          </w:tcPr>
          <w:p>
            <w:pPr>
              <w:spacing w:after="0"/>
              <w:rPr>
                <w:sz w:val="1"/>
                <w:szCs w:val="1"/>
                <w:color w:val="auto"/>
              </w:rPr>
            </w:pPr>
          </w:p>
        </w:tc>
      </w:tr>
      <w:tr>
        <w:trPr>
          <w:trHeight w:val="223"/>
        </w:trPr>
        <w:tc>
          <w:tcPr>
            <w:tcW w:w="8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5,937,345</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253,277</w:t>
            </w: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439,029</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1,412,414</w:t>
            </w: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1,108,828</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140,506</w:t>
            </w:r>
          </w:p>
        </w:tc>
        <w:tc>
          <w:tcPr>
            <w:tcW w:w="0" w:type="dxa"/>
            <w:vAlign w:val="bottom"/>
          </w:tcPr>
          <w:p>
            <w:pPr>
              <w:spacing w:after="0"/>
              <w:rPr>
                <w:sz w:val="1"/>
                <w:szCs w:val="1"/>
                <w:color w:val="auto"/>
              </w:rPr>
            </w:pPr>
          </w:p>
        </w:tc>
      </w:tr>
      <w:tr>
        <w:trPr>
          <w:trHeight w:val="223"/>
        </w:trPr>
        <w:tc>
          <w:tcPr>
            <w:tcW w:w="8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9,508,107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9,291,399</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60" w:type="dxa"/>
            <w:vAlign w:val="bottom"/>
            <w:shd w:val="clear" w:color="auto" w:fill="CCEEFF"/>
          </w:tcPr>
          <w:p>
            <w:pPr>
              <w:ind w:left="32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1,227,428</w:t>
            </w:r>
          </w:p>
        </w:tc>
        <w:tc>
          <w:tcPr>
            <w:tcW w:w="0" w:type="dxa"/>
            <w:vAlign w:val="bottom"/>
          </w:tcPr>
          <w:p>
            <w:pPr>
              <w:spacing w:after="0"/>
              <w:rPr>
                <w:sz w:val="1"/>
                <w:szCs w:val="1"/>
                <w:color w:val="auto"/>
              </w:rPr>
            </w:pPr>
          </w:p>
        </w:tc>
      </w:tr>
      <w:tr>
        <w:trPr>
          <w:trHeight w:val="23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2,327,360</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870,154</w:t>
            </w:r>
          </w:p>
        </w:tc>
        <w:tc>
          <w:tcPr>
            <w:tcW w:w="0" w:type="dxa"/>
            <w:vAlign w:val="bottom"/>
          </w:tcPr>
          <w:p>
            <w:pPr>
              <w:spacing w:after="0"/>
              <w:rPr>
                <w:sz w:val="1"/>
                <w:szCs w:val="1"/>
                <w:color w:val="auto"/>
              </w:rPr>
            </w:pPr>
          </w:p>
        </w:tc>
      </w:tr>
      <w:tr>
        <w:trPr>
          <w:trHeight w:val="230"/>
        </w:trPr>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340,785</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99,213</w:t>
            </w:r>
          </w:p>
        </w:tc>
        <w:tc>
          <w:tcPr>
            <w:tcW w:w="0" w:type="dxa"/>
            <w:vAlign w:val="bottom"/>
          </w:tcPr>
          <w:p>
            <w:pPr>
              <w:spacing w:after="0"/>
              <w:rPr>
                <w:sz w:val="1"/>
                <w:szCs w:val="1"/>
                <w:color w:val="auto"/>
              </w:rPr>
            </w:pPr>
          </w:p>
        </w:tc>
      </w:tr>
      <w:tr>
        <w:trPr>
          <w:trHeight w:val="223"/>
        </w:trPr>
        <w:tc>
          <w:tcPr>
            <w:tcW w:w="8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4,864,940</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368,996</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382,482</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5,640,531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5,616,418</w:t>
            </w:r>
          </w:p>
        </w:tc>
        <w:tc>
          <w:tcPr>
            <w:tcW w:w="0" w:type="dxa"/>
            <w:vAlign w:val="bottom"/>
          </w:tcPr>
          <w:p>
            <w:pPr>
              <w:spacing w:after="0"/>
              <w:rPr>
                <w:sz w:val="1"/>
                <w:szCs w:val="1"/>
                <w:color w:val="auto"/>
              </w:rPr>
            </w:pPr>
          </w:p>
        </w:tc>
      </w:tr>
      <w:tr>
        <w:trPr>
          <w:trHeight w:val="21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EMCOR Group, Inc. stockholders’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$0.10 par value, 1,000,000 shares authorized, zero issued and outstanding</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7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$0.01 par value, 200,000,000 shares authorized, 61,294,178 and 61,252,599 shares issued,</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surplus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101,336</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30"/>
        </w:trPr>
        <w:tc>
          <w:tcPr>
            <w:tcW w:w="8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6,005,772</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16,854,238 and 16,732,232 shares,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(2,431,861)</w:t>
            </w:r>
          </w:p>
        </w:tc>
        <w:tc>
          <w:tcPr>
            <w:tcW w:w="0" w:type="dxa"/>
            <w:vAlign w:val="bottom"/>
          </w:tcPr>
          <w:p>
            <w:pPr>
              <w:spacing w:after="0"/>
              <w:rPr>
                <w:sz w:val="1"/>
                <w:szCs w:val="1"/>
                <w:color w:val="auto"/>
              </w:rPr>
            </w:pPr>
          </w:p>
        </w:tc>
      </w:tr>
      <w:tr>
        <w:trPr>
          <w:trHeight w:val="223"/>
        </w:trPr>
        <w:tc>
          <w:tcPr>
            <w:tcW w:w="8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EMCOR Group, Inc. stockholders’ equity</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3,673,944</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87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3,674,981</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9,291,399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data)(Unaudited)</w:t>
      </w:r>
    </w:p>
    <w:p>
      <w:pPr>
        <w:spacing w:after="0" w:line="200" w:lineRule="exact"/>
        <w:rPr>
          <w:sz w:val="20"/>
          <w:szCs w:val="20"/>
          <w:color w:val="auto"/>
        </w:rPr>
      </w:pPr>
    </w:p>
    <w:p>
      <w:pPr>
        <w:spacing w:after="0" w:line="243"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3,867,372</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3,144,654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722,718</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403,962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318,756</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324,197</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240,677</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
        </w:trPr>
        <w:tc>
          <w:tcPr>
            <w:tcW w:w="8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8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4" w:lineRule="exact"/>
        <w:rPr>
          <w:sz w:val="20"/>
          <w:szCs w:val="20"/>
          <w:color w:val="auto"/>
        </w:rPr>
      </w:pPr>
    </w:p>
    <w:p>
      <w:pPr>
        <w:ind w:right="4600"/>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8"/>
          <w:szCs w:val="18"/>
          <w:i w:val="1"/>
          <w:iCs w:val="1"/>
          <w:color w:val="auto"/>
        </w:rPr>
        <w:t>(In thousands)(Unaudited)</w:t>
      </w:r>
    </w:p>
    <w:p>
      <w:pPr>
        <w:jc w:val="center"/>
        <w:ind w:left="8700"/>
        <w:spacing w:after="0" w:line="229"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240,677</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29"/>
        </w:trPr>
        <w:tc>
          <w:tcPr>
            <w:tcW w:w="87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Changes in post-retirement plans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246,496</w:t>
            </w:r>
          </w:p>
        </w:tc>
      </w:tr>
      <w:tr>
        <w:trPr>
          <w:trHeight w:val="21"/>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58"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tax of $0.2 million for the three months ended March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17" w:lineRule="exact"/>
        <w:rPr>
          <w:sz w:val="20"/>
          <w:szCs w:val="20"/>
          <w:color w:val="auto"/>
        </w:rPr>
      </w:pP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240,677</w:t>
            </w:r>
          </w:p>
        </w:tc>
      </w:tr>
      <w:tr>
        <w:trPr>
          <w:trHeight w:val="230"/>
        </w:trPr>
        <w:tc>
          <w:tcPr>
            <w:tcW w:w="8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r>
      <w:tr>
        <w:trPr>
          <w:trHeight w:val="22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reconciling items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8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effect of businesses acquired</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(186,622)</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108,471</w:t>
            </w:r>
          </w:p>
        </w:tc>
      </w:tr>
      <w:tr>
        <w:trPr>
          <w:trHeight w:val="21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(850,644)</w:t>
            </w: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or disposal of property, plant, and equipment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(26,131)</w:t>
            </w:r>
          </w:p>
        </w:tc>
      </w:tr>
      <w:tr>
        <w:trPr>
          <w:trHeight w:val="223"/>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(875,441)</w:t>
            </w:r>
          </w:p>
        </w:tc>
      </w:tr>
      <w:tr>
        <w:trPr>
          <w:trHeight w:val="21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finance lease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(11,451)</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(224,832)</w:t>
            </w:r>
          </w:p>
        </w:tc>
      </w:tr>
      <w:tr>
        <w:trPr>
          <w:trHeight w:val="229"/>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w:t>
            </w:r>
          </w:p>
        </w:tc>
      </w:tr>
      <w:tr>
        <w:trPr>
          <w:trHeight w:val="230"/>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contingent consideration arrangements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cash equivalents, and 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(762,930)</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beginning of year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1,340,395</w:t>
            </w:r>
          </w:p>
        </w:tc>
      </w:tr>
      <w:tr>
        <w:trPr>
          <w:trHeight w:val="223"/>
        </w:trPr>
        <w:tc>
          <w:tcPr>
            <w:tcW w:w="88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3"/>
                <w:szCs w:val="23"/>
                <w:b w:val="1"/>
                <w:bCs w:val="1"/>
                <w:color w:val="auto"/>
                <w:vertAlign w:val="superscript"/>
              </w:rPr>
              <w:t>(2)</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577,465</w:t>
            </w:r>
          </w:p>
        </w:tc>
      </w:tr>
      <w:tr>
        <w:trPr>
          <w:trHeight w:val="21"/>
        </w:trPr>
        <w:tc>
          <w:tcPr>
            <w:tcW w:w="8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98"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million of restricted cash classified as “Prepaid expenses and other” in the Consolidated Balance Sheet as of December 31, 2024.</w:t>
      </w:r>
    </w:p>
    <w:p>
      <w:pPr>
        <w:spacing w:after="0" w:line="113"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$0.8 million of restricted cash classified as “Prepaid expenses and other” in the Consolidated Balance Sheet as of March 31,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EMCOR Group, Inc. Stockholders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1"/>
                <w:szCs w:val="11"/>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surplus</w:t>
            </w:r>
          </w:p>
        </w:tc>
        <w:tc>
          <w:tcPr>
            <w:tcW w:w="320" w:type="dxa"/>
            <w:vAlign w:val="bottom"/>
          </w:tcPr>
          <w:p>
            <w:pPr>
              <w:spacing w:after="0"/>
              <w:rPr>
                <w:sz w:val="11"/>
                <w:szCs w:val="11"/>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06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1"/>
                <w:szCs w:val="11"/>
                <w:color w:val="auto"/>
              </w:rPr>
            </w:pPr>
          </w:p>
        </w:tc>
        <w:tc>
          <w:tcPr>
            <w:tcW w:w="1060" w:type="dxa"/>
            <w:vAlign w:val="bottom"/>
          </w:tcPr>
          <w:p>
            <w:pPr>
              <w:jc w:val="right"/>
              <w:ind w:right="276"/>
              <w:spacing w:after="0" w:line="135"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2024</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2,938,694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4,778,061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(1,852,964)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6"/>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290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noncontrolling interests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26"/>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2"/>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March 31, 2025</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2025</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6,005,772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26"/>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290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Tax withholding for common 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issued under share-based compensation</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(17,984)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(17,984)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plans</w:t>
            </w: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dividends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Balance, March 31, 2026</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3,867,576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6,293,411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(2,519,542)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_________</w:t>
      </w:r>
    </w:p>
    <w:p>
      <w:pPr>
        <w:spacing w:after="0" w:line="44"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cumulative foreign currency translation adjustments and post-retirement liability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instructions to Form 10-Q and Rule 10-01 of Regulation S-X. Consequently, certain information and note disclosures normally included in financial statements prepared in accordance with accounting principles generally accepted in the United States (“U.S. GAAP”) have been condensed or omitted.</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References to the “Company,” “EMCOR,” “we,” “us,” “our,” and similar words refer to EMCOR Group, Inc. and its consolidated subsidiaries unless the context indicates otherwise. Readers of this report should refer to the consolidated financial statements and the notes thereto included in our latest Annual Report on Form 10-K filed with the Securities and Exchange Commission.</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our opinion, the accompanying unaudited consolidated financial statements contain all adjustments (consisting only of those of a normal recurring nature) necessary to present fairly our financial position and the results of our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results of operations of companies acquired have been included in our results of operations from the date of their respective acquisition by us.</w:t>
      </w:r>
    </w:p>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December 1, 2025, we sold EMCOR (UK) Limited and EMCOR Group (UK) plc, which collectively represented our United Kingdom building services segment (collectively, “EMCOR UK”).</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to be expected for the year ending December 31,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Pronouncements</w:t>
      </w:r>
    </w:p>
    <w:p>
      <w:pPr>
        <w:spacing w:after="0" w:line="13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an Accounting Standards Update (“ASU”), which requires disaggregated disclosures, in the notes to the financial statements, about certain income statement expense line items on an interim and annual basis. This guidance requires entities to provide more detailed information about purchases of inventory, employee compensation, depreciation expense, intangible asset amortization, and selling expenses. Such guidance, which is required to be applied prospectively, is effective for fiscal years beginning after December 15, 2026, and interim periods within fiscal years beginning after December 15, 2027, although early adoption and retrospective application is permitted. While the adoption of this ASU will not have an impact on our financial position and/or results of operations, we are currently evaluating the impact on our financial statement disclosures, including the processes and controls around the collection of this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 transfers promised goods or services to customers in an amount that reflects the consideration to which we expect to be entitled in exchange for those goods or services by applying the following five step model: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6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contracts are often modified through change orders to account for changes in the scope and price of the goods or services we are providing. Although the Company evaluates each change order to determine whether such modification creates a separate performance obligation, the majority of our change orders are for goods or services that are not distinct within the context of our original contract and, therefore, are not treated as separate performance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6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typically utilized in situations where a contract contains a large number of possible outcomes while the most likely amount method is typically utilized in situations where a contract has only two possible outcomes.</w:t>
      </w:r>
    </w:p>
    <w:p>
      <w:pPr>
        <w:spacing w:after="0" w:line="1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w:t>
      </w:r>
    </w:p>
    <w:p>
      <w:pPr>
        <w:spacing w:after="0" w:line="3" w:lineRule="exact"/>
        <w:rPr>
          <w:sz w:val="20"/>
          <w:szCs w:val="20"/>
          <w:color w:val="auto"/>
        </w:rPr>
      </w:pPr>
    </w:p>
    <w:p>
      <w:pPr>
        <w:jc w:val="both"/>
        <w:ind w:firstLine="8"/>
        <w:spacing w:after="0" w:line="253"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of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Contract claims are another form of variable consideration which is common within our industry. Claim amounts represent revenue that has been recognized for contract modifications that are not submitted or are in dispute as to both scope and price. In estimating the transaction price for claims, the Company considers all relevant facts available. However, given the uncertainty surrounding claims, including the potential long-term nature of dispute resolution and the broad range of possible consideration amounts, there is an increased likelihood that any additional contract revenue associated with contract claims is constrained. The resolution of claims involves negotiations and, in certain cases, litigation. In the event litigation costs are incurred by us in connection with claims, such litigation costs are expensed as incurred, although we may seek to recover these costs.</w:t>
      </w:r>
    </w:p>
    <w:p>
      <w:pPr>
        <w:spacing w:after="0" w:line="12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For some transactions, the receipt of consideration does not match the timing of the transfer of goods or services to the customer. For such contracts, the Company evaluates whether this timing difference represents a financing arrangement within the contract. Although rare, if a contract is determined to contain a significant financing component, the Company adjusts the promised amount of consideration for the effects of the time value of money when determining the transaction price of such contract. Although our customers may retain a portion of the contract price until completion of the project and final contract settlement, these retainage amounts are not considered a significant financing component as the intent of the withheld amounts is to provide the customer with assurance that we will complete our obligations under the contract rather than to provide financing to the customer. In addition, although we may be entitled to advanced payments from our customers on certain contracts, these advanced payments generally do not represent a significant financing component as the payments are used to meet working capital demands that can be higher in the early stages of a contract, as well as to protect us from our customer failing to meet its obligations under the contract.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6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Recognize revenue as performance obligations are satisfied</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we perform, (b) the Company’s performance creates or enhances an asset that the customer controls as the asset is created or enhanced, or (c) the Company’s performance does not create an asset with an alternative use to us, and we have an enforceable right to payment for performance completed to date.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our performance obligations satisfied over time, we recognize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our construction contracts, revenue is generally recognized over time as our performance creates or enhances an asset that the customer controls as it is created or enhanced. Our fixed price construction projects generally use a cost-to-cost input method to measure our progress towards complete satisfaction of the performance obligation as we believe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For our unit price construction contracts, progress towards complete satisfaction is measured through an output method, such as the number of units produced or delivered, when our performance does not produce significant amounts of work in process or finished goods prior to complete satisfaction of such performance obligations.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our services contracts, revenue is also generally recognized over time as the customer simultaneously receives and consumes the benefits of our performance as we perform the service. For our fixed price service contracts with specified service periods, revenue is generally recognized on a straight-line basis over such service period when our inputs are expended evenly and the customer receives and consumes the benefits of our performance throughout the contract term.</w:t>
      </w:r>
    </w:p>
    <w:p>
      <w:pPr>
        <w:spacing w:after="0" w:line="11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for the manufacturing of new build heat exchangers within our United States industrial services segment depends on the payment terms of the contract, as our performance does not create an asset with an alternative use to us. For those contracts for which we have a right to payment for performance completed to date at all times throughout our performance, inclusive of a cancellation, we recognize revenue over time. For these performance obligations, we use a cost-to-cost input method to measure our progress towards complete satisfaction of the performance obligation as we believe it best depicts the transfer of control to the customer which occurs as we incur costs on our contracts. However, for those contracts for which we do not have a right, at all times, to payment for performance completed to date, we recognize revenue at the point in time when control is transferred to the customer. For bill-and-hold arrangements, revenue is recognized when the customer obtains control of the heat exchanger, which may be prior to shipping if certain recognition criteria are met.</w:t>
      </w:r>
    </w:p>
    <w:p>
      <w:pPr>
        <w:spacing w:after="0" w:line="1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certain of our revenue streams, such as call-out repair and service work, outage services, refinery turnarounds, and specialty welding services that are performed under time and materials contracts, our progress towards complete satisfaction of such performance obligations is measured using an output method as the customer receives and consumes the benefits of our performance completed to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Estimates</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Due to uncertainties inherent in the estimation process, as well as the significant judgment involved in determining variable consideration, it is possible that estimates of costs to complete a performance obligation, and/or our estimates of transaction prices, will be revised in the near term. For those performance obligations for which revenue is recognized using a cost-to-cost input method, changes in total estimated costs, and related progress towards complete satisfaction of the performance obligation, or changes in the estimate of transaction prices, are recognized on a cumulative catch-up basis in the period in which the revisions to the estimates are made. When the current estimate of total costs for a performance obligation indicates a loss, a provision for the entire estimated loss on the unsatisfied performance obligation is made in the period in which the loss becomes evident.</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an evaluation of individual projects that were substantially complete in prior periods but had revisions to total estimated costs or anticipated contract value (inclusive of the settlement of previously outstanding change orders and claims) that resulted in an increase to profitability in excess of $1.0 million, we recognized revenue during the three months ended March 31, 2026 and 2025, as summarized in the following table (in thousands):</w:t>
      </w:r>
    </w:p>
    <w:p>
      <w:pPr>
        <w:spacing w:after="0" w:line="14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an evaluation of individual projects that had revisions to total estimated costs or anticipated contract value that resulted in a reduction of profitability in excess of $1.0 million, our operating results were negatively impacted during the three months ended March 31, 2026 and 2025, as summarized in the following table (in thousands):</w:t>
      </w:r>
    </w:p>
    <w:p>
      <w:pPr>
        <w:spacing w:after="0" w:line="14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impact</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8,978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6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contracts to provide construction services relating to electrical and mechanical systems, as well as to provide a number of building services and industrial services to our customers. Our contracts are with many different customers in numerous industries.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provide further disaggregation of our revenues, by categories we use to evaluate our financial performance within each of our reportable segments, for the three months ended March 31, 2026 and 2025 (in thousands, except for percentages). Refer to Note 13 - Segment Information of the notes to consolidated financial statements for additional information on how we disaggregate our revenues by reportable segment.</w:t>
      </w:r>
    </w:p>
    <w:p>
      <w:pPr>
        <w:spacing w:after="0" w:line="37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electrical construction and facilities services: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1,447,414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1,087,844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w:t>
      </w:r>
    </w:p>
    <w:p>
      <w:pPr>
        <w:spacing w:after="0" w:line="5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those projects which generally are completed within three months or less.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0" w:type="dxa"/>
            <w:vAlign w:val="bottom"/>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00" w:type="dxa"/>
            <w:vAlign w:val="bottom"/>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mechanical construction and facilities services: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and communications market sector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613,824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market sector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industrial market sector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market sector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High-tech manufacturing market sector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205,480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 market sector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170,334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market sector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and wastewater market sector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 and entertainment market sector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Short-duration projects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work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2,031,517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2,026,341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________</w:t>
      </w:r>
    </w:p>
    <w:p>
      <w:pPr>
        <w:spacing w:after="0" w:line="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color w:val="auto"/>
        </w:rPr>
        <w:t>(1)</w:t>
        <w:tab/>
        <w:t>Represents those projects which generally are completed within three months or less.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1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building services: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Mechanical services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558,486</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site-based services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143,309</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site-based services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1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industrial services:</w:t>
            </w: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317,667</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Shop services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41,335</w:t>
            </w:r>
          </w:p>
        </w:tc>
        <w:tc>
          <w:tcPr>
            <w:tcW w:w="112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bottom w:val="single" w:sz="8" w:color="CCEEFF"/>
            </w:tcBorders>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gridSpan w:val="11"/>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Kingdom building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work</w:t>
            </w: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48,031</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Project work</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3,867,372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1"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16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in the period we deliver goods and services to our customers or when our right to consideration is unconditional. The Company maintains an allowance for credit losses to reduce outstanding receivables to their net realizable value. Judgment is required when determining expected credit losses. Estimates of such losses are recorded when we believe a customer, or group of customers, may not be able to meet their financial obligations due to deterioration in financial condition or credit rating. Factors relevant to our assessment include our prior collection history with our customers, the related aging of past due balances, projections of credit losses based on historical trends in credit quality indicators or past events, and forecasts of future economic conditions. In addition to monitoring delinquent accounts, management reviews the credit quality of its receivables by, among other things, obtaining credit ratings of significant customers, assessing economic and market conditions, and evaluating material changes to a customer’s business, cash flows, and financial condition.</w:t>
      </w:r>
    </w:p>
    <w:p>
      <w:pPr>
        <w:spacing w:after="0" w:line="12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our allowance for credit losses was $22.1 million and $22.8 million, respectively. Allowances for credit losses are based on the best facts available and are reassessed and adjusted on a regular basis as additional information is received. Should anticipated collections fail to materialize, or if future economic conditions compare unfavorably to our forecasts, we could experience an increase in our credit losses.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change in the allowance for credit losses for the three months ended March 31, 2026 was as follows (in thousands):</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35"/>
        </w:trPr>
        <w:tc>
          <w:tcPr>
            <w:tcW w:w="9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22,757</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 against the allowance, net of recoveries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22,056</w:t>
            </w:r>
          </w:p>
        </w:tc>
      </w:tr>
      <w:tr>
        <w:trPr>
          <w:trHeight w:val="21"/>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Contract assets include unbilled amounts from our construction projects when revenues recognized under the cost-to-cost measure of progress exceed the amounts invoiced to our customers, as the amounts are not yet billable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Also included in contract assets are amounts we seek or will seek to collect from customers or others for errors or changes in contract specifications or design, contract change orders or modifications in dispute or unapproved as to scope and/or price, or other customer-related causes of unanticipated additional contract costs (claims and unapproved change orders). Our contract assets do not include capitalized costs to obtain and fulfill a contract. Contract assets are generally classified as current within the Consolidated Balance Sheets.</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Contract liabilities from our construction contracts arise when amounts invoiced to our customers exceed revenues recognized under the cost-to-cost measure of progress. Contract liabilities additionally include advanced payments from our customers on certain contracts. Contract liabilities decrease as we recognize revenue from the satisfaction of the related performance obligation and are recorded as either current or long-term, depending upon when we expect to recognize such revenue. The long-term portion of contract liabilities is included in “Other long-term obligations” in the Consolidated Balance Sheets.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contract liabilities in the accompanying Consolidated Balance Sheets consisted of the following amounts as of March 31, 2026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current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337,717</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non-current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(2,327,360)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non-current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(1,990,480)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contract liabilities increased by $50.0 million during the three months ended March 31, 2026, primarily due to an increase in net contract liabilities on our uncompleted construction projects, partially as a result of the timing of invoicing to our customers, including advanced billings on several projects in the earlier stages of completion, as we continue to effectively manage our working capital. There was no significant impairment of contract assets recognized during the periods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Unsatisfied Performance Obligations</w:t>
      </w:r>
    </w:p>
    <w:p>
      <w:pPr>
        <w:spacing w:after="0" w:line="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 for each of our reportable segments and their respective percentages of total remaining performance obligations as of March 31, 2026 (in thousands, except for percentages):</w:t>
      </w:r>
    </w:p>
    <w:p>
      <w:pPr>
        <w:spacing w:after="0" w:line="6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3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5,613,652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8,563,253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1,307,689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15,620,670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remaining performance obligations at March 31, 2026 were $15.62 billion. Remaining performance obligations increase with awards of new contracts and decrease as we perform work and recognize revenue on existing contracts. We include a project within our remaining performance obligations at such time the project is awarded and agreement on contract terms has been reached. Our remaining performance obligations include amounts related to contracts for which a fixed price contract value is not assigned when a reasonable estimate of the total transaction price can be made.</w:t>
      </w:r>
    </w:p>
    <w:p>
      <w:pPr>
        <w:spacing w:after="0" w:line="8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include unrecognized revenues to be realized from uncompleted construction contracts. Although many of our construction contracts are subject to cancellation at the election of our customers, in accordance with industry practice, we do not limit the amount of unrecognized revenue included within remaining performance obligations for these contracts as the risk of cancellation is very low due to the inherent substantial economic penalty that our customers would incur upon cancellation or termination. We believe our reported remaining performance obligations for our construction contracts are firm and contract cancellations have not had a material adverse effect on us.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also include unrecognized revenues expected to be realized over the remaining term of service contracts. However, to the extent a service contract includes a cancellation clause which allows for the termination of such contract by either party without a substantive penalty, the remaining contract term, and therefore, the amount of unrecognized revenues included within remaining performance obligations, is limited to the notice period required for the termination.</w:t>
      </w:r>
    </w:p>
    <w:p>
      <w:pPr>
        <w:spacing w:after="0" w:line="8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remaining performance obligations are comprised of: (a) original contract amounts, (b) change orders for which we have received written confirmations from our customers, (c) pending change orders for which we expect to receive confirmations in the ordinary course of business, (d) claim amounts that we have made against customers for which we have determined we have a legal basis under existing contractual arrangements and as to which the variable consideration constraint does not apply, and (e) other forms of variable consideration to the extent that such variable consideration has been included within the transaction price of our contracts. Such claim and other variable consideration amounts were immaterial for all periods presented.</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from Contracts with Customers (Continued)</w:t>
      </w:r>
    </w:p>
    <w:p>
      <w:pPr>
        <w:spacing w:after="0" w:line="1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Refer to the table below for additional information regarding our remaining performance obligations, including an estimate of when we expect to recognize such remaining performance obligations as revenue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Within one year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one</w:t>
            </w:r>
          </w:p>
        </w:tc>
        <w:tc>
          <w:tcPr>
            <w:tcW w:w="0" w:type="dxa"/>
            <w:vAlign w:val="bottom"/>
          </w:tcPr>
          <w:p>
            <w:pPr>
              <w:spacing w:after="0"/>
              <w:rPr>
                <w:sz w:val="1"/>
                <w:szCs w:val="1"/>
                <w:color w:val="auto"/>
              </w:rPr>
            </w:pPr>
          </w:p>
        </w:tc>
      </w:tr>
      <w:tr>
        <w:trPr>
          <w:trHeight w:val="194"/>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1,356,828</w:t>
            </w:r>
          </w:p>
        </w:tc>
        <w:tc>
          <w:tcPr>
            <w:tcW w:w="0" w:type="dxa"/>
            <w:vAlign w:val="bottom"/>
          </w:tcPr>
          <w:p>
            <w:pPr>
              <w:spacing w:after="0"/>
              <w:rPr>
                <w:sz w:val="1"/>
                <w:szCs w:val="1"/>
                <w:color w:val="auto"/>
              </w:rPr>
            </w:pPr>
          </w:p>
        </w:tc>
      </w:tr>
      <w:tr>
        <w:trPr>
          <w:trHeight w:val="229"/>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1,960,301</w:t>
            </w:r>
          </w:p>
        </w:tc>
        <w:tc>
          <w:tcPr>
            <w:tcW w:w="0" w:type="dxa"/>
            <w:vAlign w:val="bottom"/>
          </w:tcPr>
          <w:p>
            <w:pPr>
              <w:spacing w:after="0"/>
              <w:rPr>
                <w:sz w:val="1"/>
                <w:szCs w:val="1"/>
                <w:color w:val="auto"/>
              </w:rPr>
            </w:pPr>
          </w:p>
        </w:tc>
      </w:tr>
      <w:tr>
        <w:trPr>
          <w:trHeight w:val="23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137,371</w:t>
            </w:r>
          </w:p>
        </w:tc>
        <w:tc>
          <w:tcPr>
            <w:tcW w:w="0" w:type="dxa"/>
            <w:vAlign w:val="bottom"/>
          </w:tcPr>
          <w:p>
            <w:pPr>
              <w:spacing w:after="0"/>
              <w:rPr>
                <w:sz w:val="1"/>
                <w:szCs w:val="1"/>
                <w:color w:val="auto"/>
              </w:rPr>
            </w:pPr>
          </w:p>
        </w:tc>
      </w:tr>
      <w:tr>
        <w:trPr>
          <w:trHeight w:val="229"/>
        </w:trPr>
        <w:tc>
          <w:tcPr>
            <w:tcW w:w="8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3,454,500</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Acquisitions are accounted for utilizing the acquisition method of accounting and the prices paid for them are allocated to their respective assets and liabilities based upon the estimated fair value of such assets and liabilities at the dates of their respective acquisition by us.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acquired a company for an immaterial amount. This company provides mechanical and sheet metal fabrication services in the Western region of the United States, and its results have been included in our United States mechanical construction and facilities services segment.</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that operates predominantly across the Southeastern United States. Under the terms of the transaction, we acquired 100% of Miller Electric's capital stock for total cash consideration of $876.8 million, inclusive of working capital and other customary adjustments. This acquisition complements our existing electrical construction capabilities in high-growth end markets and expands our geographic presence. The results of operations of Miller Electric have been included within our United States electrical construction and facilities services segment. In connection with this acquisition, we incurred $9.4 million of transaction related costs during the first quarter of 2025. These expenses were included in "Selling, general and administrative expenses" in the accompanying Consolidated Statement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30"/>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222,355</w:t>
            </w: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29"/>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30"/>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w:t>
            </w: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30,345</w:t>
            </w:r>
          </w:p>
        </w:tc>
      </w:tr>
      <w:tr>
        <w:trPr>
          <w:trHeight w:val="229"/>
        </w:trPr>
        <w:tc>
          <w:tcPr>
            <w:tcW w:w="20" w:type="dxa"/>
            <w:vAlign w:val="bottom"/>
          </w:tcPr>
          <w:p>
            <w:pPr>
              <w:spacing w:after="0"/>
              <w:rPr>
                <w:sz w:val="19"/>
                <w:szCs w:val="19"/>
                <w:color w:val="auto"/>
              </w:rPr>
            </w:pPr>
          </w:p>
        </w:tc>
        <w:tc>
          <w:tcPr>
            <w:tcW w:w="100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326,776</w:t>
            </w: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r>
        <w:trPr>
          <w:trHeight w:val="230"/>
        </w:trPr>
        <w:tc>
          <w:tcPr>
            <w:tcW w:w="20" w:type="dxa"/>
            <w:vAlign w:val="bottom"/>
            <w:tcBorders>
              <w:bottom w:val="single" w:sz="8" w:color="CCEEFF"/>
            </w:tcBorders>
          </w:tcPr>
          <w:p>
            <w:pPr>
              <w:spacing w:after="0"/>
              <w:rPr>
                <w:sz w:val="19"/>
                <w:szCs w:val="19"/>
                <w:color w:val="auto"/>
              </w:rPr>
            </w:pPr>
          </w:p>
        </w:tc>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1,114,367</w:t>
            </w: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99" w:lineRule="exact"/>
        <w:rPr>
          <w:sz w:val="20"/>
          <w:szCs w:val="20"/>
          <w:color w:val="auto"/>
        </w:rPr>
      </w:pPr>
    </w:p>
    <w:p>
      <w:pPr>
        <w:ind w:left="420" w:hanging="412"/>
        <w:spacing w:after="0" w:line="280" w:lineRule="auto"/>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is calculated as the excess of the consideration transferred over the fair value of the net assets acquired and represents the projected future economic benefits from this strategic acquisition.</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Acquisitions and Dispositions of Businesses (Continued)</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68,147</w:t>
            </w:r>
          </w:p>
        </w:tc>
      </w:tr>
      <w:tr>
        <w:trPr>
          <w:trHeight w:val="229"/>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w:t>
            </w:r>
          </w:p>
        </w:tc>
      </w:tr>
      <w:tr>
        <w:trPr>
          <w:trHeight w:val="230"/>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9"/>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22,746</w:t>
            </w:r>
          </w:p>
        </w:tc>
      </w:tr>
      <w:tr>
        <w:trPr>
          <w:trHeight w:val="229"/>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30"/>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w:t>
            </w:r>
          </w:p>
        </w:tc>
      </w:tr>
      <w:tr>
        <w:trPr>
          <w:trHeight w:val="229"/>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3"/>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236,661</w:t>
            </w:r>
          </w:p>
        </w:tc>
      </w:tr>
      <w:tr>
        <w:trPr>
          <w:trHeight w:val="229"/>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3"/>
        </w:trPr>
        <w:tc>
          <w:tcPr>
            <w:tcW w:w="2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876,772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identifiable intangible assets (in thousands) and their estimated useful lives (in years). Refer to Note 8 - Fair Value Measurements of the notes to consolidated financial statements for additional information on the valuation methodologies utilized to determine fair value.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Miller Electric</w:t>
            </w:r>
          </w:p>
        </w:tc>
        <w:tc>
          <w:tcPr>
            <w:tcW w:w="200" w:type="dxa"/>
            <w:vAlign w:val="bottom"/>
          </w:tcPr>
          <w:p>
            <w:pPr>
              <w:spacing w:after="0"/>
              <w:rPr>
                <w:sz w:val="13"/>
                <w:szCs w:val="13"/>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3"/>
        </w:trPr>
        <w:tc>
          <w:tcPr>
            <w:tcW w:w="8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8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backlog</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Miller Electric, during calendar year 2025, we acquired nine companies, for upfront consideration of $182.1 million, inclusive of customary working capital adjustments. These acquisitions are comprised of: (a) five companies that have been included in our United States mechanical construction and facilities services segment, including: (i) two companies in the Midwestern region of the United States that provide building automation controls and solutions to commercial, institutional, and industrial customers, (ii) a company that adds capabilities to our national fire protection offerings,</w:t>
      </w:r>
    </w:p>
    <w:p>
      <w:pPr>
        <w:spacing w:after="0" w:line="3" w:lineRule="exact"/>
        <w:rPr>
          <w:sz w:val="20"/>
          <w:szCs w:val="20"/>
          <w:color w:val="auto"/>
        </w:rPr>
      </w:pPr>
    </w:p>
    <w:p>
      <w:pPr>
        <w:jc w:val="both"/>
        <w:ind w:firstLine="8"/>
        <w:spacing w:after="0" w:line="253" w:lineRule="auto"/>
        <w:tabs>
          <w:tab w:leader="none" w:pos="3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provider of mechanical construction and maintenance services in the Western region of the United States, and (iv) a full service mechanical contractor in the Northeast region of the United States, and (b) four companies that have been included in our United States building services segment, which enhance our building automation and controls or energy efficiency offerings. In connection with these acquisitions, we acquired working capital of $2.0 million and other net assets of $8.2 million and have preliminarily ascribed $67.2 million to goodwill and $104.7 million to identifiable intangible assets.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expect that all of the goodwill and identifiable intangible assets acquired in connection with these acquisitions will be deductible for tax purposes. The purchase price allocations for the business acquired in 2026 and two of the businesses acquired in 2025 are preliminary and subject to change during their respective measurement periods as we finalize asset valuations and certain tax matters, among other items. The finalization of these items may result in changes in the valuation of assets acquired or liabilities assumed. The purchase price allocations for the other businesses acquired in 2025 have been finalized during their respective measurement periods with an insignificant impact.</w:t>
      </w:r>
    </w:p>
    <w:p>
      <w:pPr>
        <w:spacing w:after="0" w:line="1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December 1, 2025, we completed the sale of EMCOR UK. Given the size of EMCOR UK, this transaction did not represent a strategic shift that had a major effect on the Company’s operations and financial results and, therefore, is not presented as discontinued operations.</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Basic and Diluted Earnings per Common Share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calculation of Basic and Diluted Earnings per Common Share (“EPS”)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 (in thousands, except share and per share data):</w:t>
      </w:r>
    </w:p>
    <w:p>
      <w:pPr>
        <w:spacing w:after="0" w:line="13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240,677</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common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44,564,932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45,634,877</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securities—Share-based awards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149,358</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common share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44,687,157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45,784,235</w:t>
            </w:r>
          </w:p>
        </w:tc>
      </w:tr>
      <w:tr>
        <w:trPr>
          <w:trHeight w:val="216"/>
        </w:trPr>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There were no anti-dilutive share-based awards for the three months ended March 31, 2026. However, the number of share-based awards excluded from the computation of diluted EPS for the three months ended March 31, 2025 because they would be anti-dilutive was 21,080.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p>
      <w:pPr>
        <w:spacing w:after="0" w:line="148"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Inventories in the accompanying Consolidated Balance Sheets consisted of the following amounts as of March 31, 2026 and December 31, 2025 (in thousands):</w:t>
      </w: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14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construction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119,789</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Excluding finance lease liabilities of $6.1 million at March 31, 2026 and $6.3 million at December 31, 2025, we had no outstanding debt as of March 31, 2026 and December 31, 2025. The current portion of our finance lease liabilities of $2.4 million at March 31, 2026 and December 31, 2025 was included in “Other accrued expenses and liabilities,” and the non-current portion of our finance lease liabilities of $3.7 million and $3.9 million at March 31, 2026 and December 31, 2025, respectively, were included in “Other long-term obligations” in the accompanying Consolidated Balance Sheets.</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 credit agreement dated December 20, 2023 (the “2023 Credit Agreement”), which provides for a $1.30 billion revolving credit facility (the “2023 Revolving Credit Facility”) expiring December 20, 2028. If additional lenders are identified and/or existing lenders are willing to increase their current commitments, we may increase the 2023 Revolving Credit Facility by an amount equal to the greater of: (a) $900 million or (b) the Company’s Adjusted EBITDA (as such term is defined in the 2023 Credit Agreement) for the twelve-month period ending immediately prior to the increase in commitment. We may allocate up to $600.0 million of available capacity under the 2023 Revolving Credit Facility to letters of credit for our account or for the account of any of our subsidiaries.</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direct borrowings outstanding under the 2023 Revolving Credit Facility as of March 31, 2026 and December 31, 2025. However, outstanding letters of credit reduce the available capacity under this facility and, as of March 31, 2026 and December 31, 2025, we had $73.1 million of letters of credit outstanding.</w:t>
      </w: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 (Continued)</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At the Company’s election, borrowings under the 2023 Revolving Credit Facility bear interest at either: (1) a base rate plus a margin of 0.125% to 0.875%, depending on the Company’s Leverage Ratio (as such term is defined in the 2023 Credit Agreement), or (2) a rate equal to the secured overnight financing rate as administered by the Federal Reserve Bank of New York for the applicable tenor plus 0.10% (“Adjusted Term SOFR”) plus a margin of 1.125% to 1.875%, depending on the Company’s Leverage Ratio. The base rate is determined by the greater of: (a) the prime commercial lending rate announced by Bank of Montreal from time to time, (b) the federal funds effective rate, plus ½ of 1.00%, (c) Adjusted Term SOFR for a one-month tenor, plus 1.00%, or (d) 0.00%.</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commitment fee is payable on the average daily unused amount of the 2023 Revolving Credit Facility, which ranges from 0.125% to 0.25%, depending on the Company’s Leverage Ratio. The fee was 0.125% of the unused amount as of March 31, 2026 and December 31, 2025. Fees for letters of credit issued under the 2023 Revolving Credit Facility range from 0.85% to 1.875% of the respective face amounts of outstanding letters of credit, depending on the nature of the letter of credit, and are computed depending on the Company’s Leverage Ratio.</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Obligations under the 2023 Credit Agreement are guaranteed by most of our direct and indirect subsidiaries and are secured by substantially all of our assets. The 2023 Credit Agreement contains customary covenants providing for, among other things, the maintenance of certain financial ratios and certain limitations on the payment of dividends, common stock repurchases, investments, acquisitions, indebtedness, and capital expenditures. We were in compliance with all such covenants as of March 31, 2026 and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disclosure purposes, we utilize a fair value hierarchy to categorize qualifying assets and liabilities into three broad levels based on the priority of the inputs used to determine their fair values. The hierarchy, which gives the highest priority to unadjusted quoted prices in active markets for identical assets and liabilities and the lowest priority to unobservable inputs, is comprised of the following three levels: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and liabilities.</w:t>
      </w:r>
    </w:p>
    <w:p>
      <w:pPr>
        <w:spacing w:after="0" w:line="117"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inputs, that are directly or indirectly observable for the asset or liability, including quoted prices for similar assets and liabilities in active markets; quoted prices for identical or similar assets or liabilities in markets that are not active; and model-derived valuations whose inputs are observable or whose significant value drivers are observable.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 Significant unobservable inputs that reflect the reporting entity’s own assumptions.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7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assets and liabilities carried at fair value measured on a recurring basis as of March 31, 2026 and December 31, 2025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Assets at Fair Value as of March 31, 2026</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68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8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6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1,000,451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1,000,451</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17"/>
          </w:tcPr>
          <w:p>
            <w:pPr>
              <w:ind w:left="50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c>
          <w:tcPr>
            <w:tcW w:w="0" w:type="dxa"/>
            <w:vAlign w:val="bottom"/>
          </w:tcPr>
          <w:p>
            <w:pPr>
              <w:spacing w:after="0"/>
              <w:rPr>
                <w:sz w:val="1"/>
                <w:szCs w:val="1"/>
                <w:color w:val="auto"/>
              </w:rPr>
            </w:pPr>
          </w:p>
        </w:tc>
      </w:tr>
      <w:tr>
        <w:trPr>
          <w:trHeight w:val="23"/>
        </w:trPr>
        <w:tc>
          <w:tcPr>
            <w:tcW w:w="6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860" w:type="dxa"/>
            <w:vAlign w:val="bottom"/>
            <w:tcBorders>
              <w:top w:val="single" w:sz="8" w:color="CCEEFF"/>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1,111,968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plan assets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1,187,595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1,187,595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7"/>
          <w:szCs w:val="7"/>
          <w:color w:val="auto"/>
        </w:rPr>
        <w:t>_________________________</w:t>
      </w:r>
    </w:p>
    <w:p>
      <w:pPr>
        <w:spacing w:after="0" w:line="59" w:lineRule="exact"/>
        <w:rPr>
          <w:sz w:val="20"/>
          <w:szCs w:val="20"/>
          <w:color w:val="auto"/>
        </w:rPr>
      </w:pPr>
    </w:p>
    <w:p>
      <w:pPr>
        <w:jc w:val="both"/>
        <w:ind w:left="420" w:hanging="412"/>
        <w:spacing w:after="0" w:line="272"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consist of deposit accounts and money market funds with original maturity dates of three months or less, which are Level 1 assets. At March 31, 2026 and December 31, 2025, we had $653.8 million and $870.5 million, respectively, in money market funds. From time to time, we have cash balances in certain of our bank accounts that exceed federally insured limits.</w:t>
      </w:r>
    </w:p>
    <w:p>
      <w:pPr>
        <w:spacing w:after="0" w:line="3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compensation plan assets are classified as “Other assets” in the Consolidated Balance Sheets.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6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recorded goodwill and identifiable intangible assets in connection with our business acquisitions. Such assets are measured at fair value at the time of acquisition based on valuation techniques that appropriately represent the methods which would be used by other market participants in determining fair value. We determine the fair value of our trade name intangible assets by utilizing the relief from royalty payments methodology. This approach involves two steps: (a) estimating a reasonable royalty rate for the trade name and (b) applying this royalty rate to a net revenue stream and discounting the resulting cash flows to determine fair value. Key assumptions under this method are future revenues, royalty rate, and discount rate. The fair value of our intangible assets related to contract backlog and customer relationships is determined using the multi-period excess earnings method. Key assumptions in the valuation of customer relationship intangible assets are revenue growth, operating margin, customer attrition rate, and discount rate. Backlog intangible assets are based on future revenue from contracts already awarded at the time of acquisition. Key assumptions in the valuation of backlog intangible assets include operating margin and discount rate. Other assumptions utilized in these valuation techniques include tax rate and contributory asset charges.</w:t>
      </w:r>
    </w:p>
    <w:p>
      <w:pPr>
        <w:spacing w:after="0" w:line="11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goodwill, intangible assets, and certain other long-lived assets are tested for impairment using similar valuation methodologies to determine the fair value of such assets.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Periodically, we engage an independent third-party valuation specialist to assist with the valuation process, including the selection of appropriate methodologies and the development of market-based assumptions. The inputs used for these nonrecurring fair value measurements represent Level 3 inputs.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carrying values of our financial instruments, which include accounts receivable and other financing commitments, approximate their fair values due primarily to their short-term maturities and low risk of counterparty default. Although there were no outstanding borrowings under our 2023 Credit Agreement as of March 31, 2026 and December 31, 2025, the carrying value of any debt associated with this agreement would approximate its fair value due to the variable rate on such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6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income tax provision and our income tax rate for the three months ended March 31, 2026 and 2025 (in thousands, except percentages):</w:t>
      </w:r>
    </w:p>
    <w:p>
      <w:pPr>
        <w:spacing w:after="0" w:line="12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83,520</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rate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2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difference between the U.S. statutory tax rate of 21% and our effective income tax rate for both the three months ended March 31, 2026 and 2025 was primarily a result of state and local income taxes and other permanent book-to-tax differences.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our income tax provision for the three months ended March 31, 2026, when compared to the three months ended March 31, 2025, was primarily due to greater income before income taxes. The decrease in our effective income tax rate for the three months ended March 31, 2026 as compared to the three months ended March 31, 2025 was attributable to the impact of favorable discrete tax items during the first quarter of 2026.</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we had no unrecognized income tax benefits.</w:t>
      </w:r>
    </w:p>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file a consolidated federal income tax return including all of our U.S. subsidiaries with the Internal Revenue Service. We additionally file income tax returns with various state, local, and foreign tax agencies. Our income tax returns are subject to audit by various taxing authorities and are currently under examination by certain states for the years 2021 through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and December 31, 2025, there were 44,439,940 and 44,520,367 shares of our common stock outstanding, respectively.</w:t>
      </w:r>
    </w:p>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issued 41,579 and 52,275 shares of common stock, respectively. These shares were issued upon the satisfaction of required conditions under our share-based compensation plans.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paid quarterly dividends since October 25, 2011. We currently pay a regular quarterly dividend of $0.40 per share.</w:t>
      </w:r>
    </w:p>
    <w:p>
      <w:pPr>
        <w:spacing w:after="0" w:line="1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March 31, 2026, the Board has authorized us to repurchase up to $3.65 billion of our outstanding common stock. During the three months ended March 31, 2026, we repurchased 0.1 million shares of our common stock for $87.7 million, inclusive of the applicable excise tax. Since the inception of the repurchase program through March 31, 2026, we have repurchased 28.6 million shares of our common stock for $3.06 billion. As of March 31, 2026, there remained authorization for us to repurchase $592.9 million of our shares. The repurchase program has no expiration date, does not obligate the Company to acquire any particular amount of common stock, and may be suspended, recommenced, or discontinued at any time or from time to time without prior notice. We may repurchase our shares from time to time to the extent permitted by securities laws and other legal requirements, including provisions in our 2023 Credit Agreement placing limitations on such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agreements with our executive officers and certain other key management personnel providing for severance benefits for such employees upon termination of their employment under certain circumstances.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Bonds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March 31, 2026, based on the percentage-of-completion of our projects covered by surety bonds, our aggregate estimated exposure, assuming defaults on all our then existing contractual obligations, was $4.19 billion, which represents approximately 27% of our total remaining performance obligations.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may be issued as collateral for certain insurance obligations. As of March 31, 2026, we satisfied $105.5 million of the collateral requirements of our insurance programs by utilizing surety bonds.</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Hazardous Materials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regulations with respect to the handling or disposal of certain materials used in the performance of our services, which are classified as hazardous or toxic by federal, state, and local agencies. Our practice is to avoid participation in projects principally involving the remediation or removal of such materials. However, when remediation is required as part of our contract performance, we believe we comply with all applicable regulations governing hazardous materials or otherwise relating to the protection of the environment.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Contracts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we perform work as a federal government contractor/subcontractor or when we perform work on a project that has received federal government funding, we are subject to U.S. government audits and investigations relating to our operations, which such audits may result in fines, penalties and compensatory and treble damages, and possible suspension or debarment from doing business with the government. Based on currently available information, we believe the outcome of ongoing government disputes and investigations will not have a material impact on our financial position, results of operations, or liquidity.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face potential exposure in several legal proceedings in which damages or claims (including, without limitation, indemnification claims by named defendants in legal proceedings in which we are not a party) have been asserted against us. We believe that we have valid defenses to such proceedings and claims, but litigation is inherently uncertain. We additionally maintain insurance coverage for certain of these matters, although these policies do not cover all possible claims and certain of the policies are subject to large deductibles and retentions. We do not believe that any such matters will have a material adverse effect on our financial position, results of operations, or liquidity. We record a loss contingency if we consider the potential loss from a proceeding or claim probable, and we are able to reasonably estimate the amount or can reasonably determine a range of loss. We provide disclosure when we believe a loss in excess of any recorded provision is reasonably possible. Significant judgment is required in these determinations. As additional information becomes available, we reassess prior determinations and may change our estimates. Additional claims may be asserted against us in the future. Litigation is subject to many uncertainties, and the outcome of litigation is not predictable with assurance. A litigation matter for which liabilities have not been recorded could be decided unfavorably to us, and any such unfavorable decision could have a material adverse effect on our financial position, results of operations, or liquidity.</w:t>
      </w:r>
    </w:p>
    <w:p>
      <w:pPr>
        <w:spacing w:after="0" w:line="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October 10, 2024, a chemical release occurred at the PEMEX Deer Park Refinery in Deer Park, Texas. As a result of the release, two people were killed and approximately 200 others claim to have suffered bodily injuries. Several lawsuits were filed in Harris County, Texas on behalf of the various claimants. Those lawsuits were thereafter assigned the status of “multi-district litigation” and consolidated in the 281st District Court, Harris County. Repcon, Inc. (“Repcon”) and EMCOR Industrial Services, Inc. (“EIS”), indirect subsidiaries of the Company, have been named in several of the lawsuits, and Repcon has also been subject to contractual indemnification claims. Repcon expects to participate in mediations related to this matter. Based on currently available information, we believe insurance will cover much or all of any amounts required to be paid by Repcon or EIS in connection with these claims.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Liabilities</w:t>
      </w:r>
    </w:p>
    <w:p>
      <w:pPr>
        <w:spacing w:after="0" w:line="17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loss payment deductibles for certain workers’ compensation, automobile liability, general liability, and property claims, have self-insured retentions for certain other casualty claims, and are self-insured for employee-related healthcare claims. In addition, we maintain a wholly-owned captive insurance subsidiary to manage certain of our insurance liabilities. Losses are recorded based upon estimates of our liability for claims incurred and for claims incurred but not reported. The liabilities are derived from known facts, historical trends, and industry averages, utilizing the assistance of an independent third-party actuary to determine the best estimate for the majority of these obligations. To the extent that the amount required to settle claims covered by insurance continues to increase, the cost of our insurance coverage, including premiums and deductibles, is likely to increase. As of March 31, 2026 and December 31, 2025, the estimated current portion of such undiscounted insurance liabilities, included in “Other accrued expenses and liabilities” in the accompanying Consolidated Balance Sheets, were $90.2 million and $84.0 million, respectively. The estimated non-current portion of such undiscounted insurance liabilities included in “Other long-term obligations” as of March 31, 2026 and December 31, 2025 were $298.9 million and $274.1 million, respectively. The current portion of anticipated insurance recoveries of $16.7 million and $15.5 million as of March 31, 2026 and December 31, 2025, respectively, were included in “Prepaid expenses and other,” and the non-current portion of anticipated insurance recoveries of $56.6 million and $51.7 million as of March 31, 2026 and December 31, 2025, respectively, were included in “Other assets” in the accompanying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Additional Cash Flow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additional cash flow information for the three months ended March 31, 2026 and 2025 (in thousands):</w:t>
      </w:r>
    </w:p>
    <w:p>
      <w:pPr>
        <w:spacing w:after="0" w:line="43"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7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65,103</w:t>
            </w: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 which additionally reflect the nature of the services offered:</w:t>
      </w:r>
    </w:p>
    <w:p>
      <w:pPr>
        <w:spacing w:after="0" w:line="99" w:lineRule="exact"/>
        <w:rPr>
          <w:sz w:val="20"/>
          <w:szCs w:val="20"/>
          <w:color w:val="auto"/>
        </w:rPr>
      </w:pPr>
    </w:p>
    <w:p>
      <w:pPr>
        <w:ind w:left="440" w:hanging="230"/>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157"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157"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 and</w:t>
      </w:r>
    </w:p>
    <w:p>
      <w:pPr>
        <w:spacing w:after="0" w:line="144"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December 1, 2025, we sold EMCOR UK, the results of which were previously reported within our United Kingdom building services segment.</w:t>
      </w:r>
    </w:p>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Chairman, President, and Chief Executive Officer. Our CODM is responsible for assessing the performance of the Company and each of our reportable segments as well as allocating resources, including personnel and capital resources. The measure of segment profit or loss utilized by our CODM is operating income. Our CODM evaluates segment performance by comparing historical, actual, and forecasted operating income on a regular basis. The accounting policies of our reportable segments are the same as those applied at the consolidated financial statement level.</w:t>
      </w:r>
    </w:p>
    <w:p>
      <w:pPr>
        <w:spacing w:after="0" w:line="1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revenues and operating income for each of our reportable segments for the three months ended March 31, 2026 and 2025 (in thousands):</w:t>
      </w:r>
    </w:p>
    <w:p>
      <w:pPr>
        <w:spacing w:after="0" w:line="14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unrelated entities: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1,087,844</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1,572,602</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742,623</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359,002</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3,762,071</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105,301</w:t>
            </w:r>
          </w:p>
        </w:tc>
      </w:tr>
      <w:tr>
        <w:trPr>
          <w:trHeight w:val="248"/>
        </w:trPr>
        <w:tc>
          <w:tcPr>
            <w:tcW w:w="8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revenues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3,867,372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 (Continued)</w:t>
      </w:r>
    </w:p>
    <w:p>
      <w:pPr>
        <w:spacing w:after="0" w:line="6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84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1,114,195</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2,050,757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1,585,114</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751,884</w:t>
            </w: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364,332</w:t>
            </w: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3,762,071</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105,301</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3,867,372</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533"/>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6"/>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6"/>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136,057</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186,747</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w:t>
            </w:r>
          </w:p>
        </w:tc>
      </w:tr>
      <w:tr>
        <w:trPr>
          <w:trHeight w:val="229"/>
        </w:trPr>
        <w:tc>
          <w:tcPr>
            <w:tcW w:w="8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r>
      <w:tr>
        <w:trPr>
          <w:trHeight w:val="223"/>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365,987</w:t>
            </w:r>
          </w:p>
        </w:tc>
      </w:tr>
      <w:tr>
        <w:trPr>
          <w:trHeight w:val="229"/>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(52,218)</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318,756</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r>
      <w:tr>
        <w:trPr>
          <w:trHeight w:val="223"/>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324,197</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significant expenses that are regularly provided to and reviewed by our CODM for each of our reportable segments for the three months ended March 31, 2026 and 2025 (in thousands):</w:t>
      </w:r>
    </w:p>
    <w:p>
      <w:pPr>
        <w:spacing w:after="0" w:line="7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876,243</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1,265,710</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601,509</w:t>
            </w:r>
          </w:p>
        </w:tc>
      </w:tr>
      <w:tr>
        <w:trPr>
          <w:trHeight w:val="229"/>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308,095</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3,051,557</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93,097</w:t>
            </w:r>
          </w:p>
        </w:tc>
      </w:tr>
      <w:tr>
        <w:trPr>
          <w:trHeight w:val="248"/>
        </w:trPr>
        <w:tc>
          <w:tcPr>
            <w:tcW w:w="8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3,144,654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 (Continued)</w:t>
      </w:r>
    </w:p>
    <w:p>
      <w:pPr>
        <w:spacing w:after="0" w:line="10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75,544</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120,145</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44,147</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344,527</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52,218</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403,962</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other financial information for each of our reportable segments for the three months ended March 31, 2026 and 2025 (in thousands):</w:t>
      </w:r>
    </w:p>
    <w:p>
      <w:pPr>
        <w:spacing w:after="0" w:line="3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 and amortization of property, plant, and equipment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601"/>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6"/>
        </w:trPr>
        <w:tc>
          <w:tcPr>
            <w:tcW w:w="8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196"/>
        </w:trPr>
        <w:tc>
          <w:tcPr>
            <w:tcW w:w="8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identifiable intangible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amortization of identifiable intangible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EMCOR Group, Inc. and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 (Continued)</w:t>
      </w:r>
    </w:p>
    <w:p>
      <w:pPr>
        <w:spacing w:after="0" w:line="10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4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3"/>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total assets for each of our reportable segments as of March 31, 2026 and December 31, 2025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2,686,933</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3,206,671</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1,436,779</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524,883</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7,855,266</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1,436,133</w:t>
            </w:r>
          </w:p>
        </w:tc>
      </w:tr>
      <w:tr>
        <w:trPr>
          <w:trHeight w:val="248"/>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9,291,399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Description</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one of the largest specialty contractors in the United States and a leading provider of electrical and mechanical construction and facilities services, building services, and industrial services. Our services are provided to a broad range of commercial, technology, manufacturing, industrial, healthcare, utility, and institutional customers through approximately 100 operating subsidiaries. Such operating subsidiaries are organized into the following reportable segments:</w:t>
      </w:r>
    </w:p>
    <w:p>
      <w:pPr>
        <w:spacing w:after="0" w:line="45" w:lineRule="exact"/>
        <w:rPr>
          <w:sz w:val="20"/>
          <w:szCs w:val="20"/>
          <w:color w:val="auto"/>
        </w:rPr>
      </w:pPr>
    </w:p>
    <w:p>
      <w:pPr>
        <w:ind w:left="440" w:hanging="230"/>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electrical construction and facilities services;</w:t>
      </w:r>
    </w:p>
    <w:p>
      <w:pPr>
        <w:spacing w:after="0" w:line="76"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mechanical construction and facilities services;</w:t>
      </w:r>
    </w:p>
    <w:p>
      <w:pPr>
        <w:spacing w:after="0" w:line="76"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building services; and</w:t>
      </w:r>
    </w:p>
    <w:p>
      <w:pPr>
        <w:spacing w:after="0" w:line="90" w:lineRule="exact"/>
        <w:rPr>
          <w:rFonts w:ascii="Times New Roman" w:cs="Times New Roman" w:eastAsia="Times New Roman" w:hAnsi="Times New Roman"/>
          <w:sz w:val="18"/>
          <w:szCs w:val="18"/>
          <w:color w:val="auto"/>
        </w:rPr>
      </w:pPr>
    </w:p>
    <w:p>
      <w:pPr>
        <w:ind w:left="440" w:hanging="230"/>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industrial services.</w:t>
      </w:r>
    </w:p>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refer to our United States electrical construction and facilities services segment and our United States mechanical construction and facilities services segment together as our United States construction segments.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December 1, 2025, we sold EMCOR (UK) Limited and EMCOR Group (UK) plc, which collectively represented our United Kingdom building services segment (collectively, “EMCOR UK”).</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more complete description of our operations, refer to Item 1. Business of our Form 10-K for the year 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data for the quarters ended March 31, 2026 and 2025 (in thousands, except for percentages and per share data):</w:t>
      </w:r>
    </w:p>
    <w:p>
      <w:pPr>
        <w:spacing w:after="0" w:line="115"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4,628,233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3,867,372</w:t>
            </w: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Revenues increase from prior year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863,950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722,718</w:t>
            </w: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 as a percentage of revenues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403,845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318,756</w:t>
            </w: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 as a percentage of revenues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240,677</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5.26</w:t>
            </w:r>
          </w:p>
        </w:tc>
      </w:tr>
    </w:tbl>
    <w:p>
      <w:pPr>
        <w:spacing w:after="0" w:line="2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of $4.63 billion for the quarter ended March 31, 2026 set a quarterly record for the Company and represent an increase of 19.7% from revenues of $3.87 billion for the quarter ended March 31, 2025. Demand for our services continues to be broad-based with strength across most of the market sectors we serve. As described in further detail below, we experienced revenue growth within all of our reportable segments. Revenues for the first quarter of 2026 included incremental acquisition contribution of $234.1 million.</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the quarter ended March 31, 2026, operating income was $403.8 million, or 8.7% of revenues, establishing new records for the Company with respect to a first quarter. This compares to operating income of $318.8 million, or 8.2% of revenues, for the quarter ended March 31, 2025. As described in further detail below, the increases in both operating income and operating margin were due to the revenue growth we experienced in the quarter, which led to greater gross profit and a reduction in the ratio of selling, general and administrative expenses to revenues. Operating income for the quarter ended March 31, 2026 included incremental acquisition contribution of $20.6 million, net of amortization expense attributable to identifiable intangible assets of $8.8 million.</w:t>
      </w:r>
    </w:p>
    <w:p>
      <w:pPr>
        <w:spacing w:after="0" w:line="1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of $305.5 million, or $6.84 per diluted share, for the quarter ended March 31, 2026 compares favorably to net income of $240.7 million, or $5.26 per diluted share, for the quarter ended March 31, 2025. While the majority of the increase in our net income and diluted earnings per share was a result of the increased operating income referenced above, diluted earnings per share for the quarter ended March 31, 2026 additionally benefited from a reduced weighted average share count given the impact of common stock repurchases made by us throughout 2025 and the first quarter of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Acquisitions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order to provide a more meaningful period-over-period discussion of our operating results, we may discuss amounts generated or incurred (revenues, gross profit, selling, general and administrative expenses, and operating income) from companies acquired. These amounts reflect the acquired companies’ operating results in the current reported period only for the time period these entities were not owned by EMCOR in the comparable prior reported period.</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2026, we acquired a company for an immaterial amount.</w:t>
      </w:r>
    </w:p>
    <w:p>
      <w:pPr>
        <w:spacing w:after="0" w:line="15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February 3, 2025, we completed the acquisition of Miller Electric Company (“Miller Electric”), a leading electrical contractor, for total cash consideration of $876.8 million. In addition to Miller Electric, during calendar year 2025, we acquired nine companies for upfront consideration of $182.1 million.</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our acquisitions, refer to Note 4 - Acquisitions and Dispositions of Businesses of the 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operating segment revenues from unrelated entities and their respective percentages of total revenues (in thousands, except for percentages):</w:t>
      </w:r>
    </w:p>
    <w:tbl>
      <w:tblPr>
        <w:tblLayout w:type="fixed"/>
        <w:tblInd w:w="4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gridSpan w:val="6"/>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104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0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92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6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742,623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381,829</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359,002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105,301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4,628,233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3,867,372</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described in more detail below, as a result of strong demand for our services across most of the market sectors we serve, consolidated revenues for the first quarter of 2026 increased to $4.63 billion compared to consolidated revenues of $3.87 billion for the first quarter of 2025. Revenues for the first quarter of 2026 included incremental acquisition contribution of $234.1 million.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Revenues of our United States electrical construction and facilities services segment were $1.45 billion for the three months ended March 31, 2026, a $359.6 million increase compared to revenues of $1.09 billion for the three months ended March 31, 2025. This segment’s results included $110.4 million of incremental acquisition revenues. Such increased revenues were generated from the majority of the market sectors we serve. While the largest increase was seen within the network and communications market sector, predominantly driven by greater demand for data center construction projects, this segment also experienced notable revenue growth within: (a) the hospitality and entertainment market sector, due to select project opportunities, and (b) the institutional market sector, primarily as a result of an increase in revenues from public sector projects. Revenues of this segment for the three months ended March 31, 2026 additionally benefited from greater levels of short-duration projects and service work.</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revenues for the three months ended March 31, 2026 were $2.03 billion, a $453.7 million increase compared to revenues of $1.57 billion for the three months ended March 31, 2025. This segment’s results included $123.7 million of incremental acquisition revenues. Similar to our United States electrical construction and facilities services segment, this segment experienced increased revenues within the majority of the market sectors in which we operate, with the most significant increase coming from the network and communications market sector due to greater demand for data center construction projects. Notable growth was additionally generated from: (a) the institutional market sector, including increased education and public sector projects, partially as a result of the incremental acquisition contribution, (b) the manufacturing and industrial market sector, primarily driven by certain food processing projects, (c) the commercial market sector, given an increase in warehousing and distribution project revenues, and (d) the water and wastewater market sector due to greater opportunities in the Southeast region of the United States. Further contributing to the revenue increase within this segment were greater levels of service work, including fire life safety inspection and maintenance. These increases were partially offset by revenue declines from the high-tech manufacturing market sector, largely as we completed certain semiconductor manufacturing construction projects in the prior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of our United States building services segment were $772.6 million for the three months ended March 31, 2026 compared to revenues of $742.6 million for the three months ended March 31, 2025. Growth in this segment was generated by its mechanical services division, which experienced:</w:t>
      </w:r>
    </w:p>
    <w:p>
      <w:pPr>
        <w:ind w:right="20" w:firstLine="8"/>
        <w:spacing w:after="0" w:line="260"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service repair and maintenance volumes, given growth in our service contract base, and (b) an increase in building automation and controls projects, as we continue to expand our service offerings in this area.</w:t>
      </w:r>
    </w:p>
    <w:p>
      <w:pPr>
        <w:spacing w:after="0" w:line="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of our United States industrial services segment for the three months ended March 31, 2026 were $381.8 million compared to revenues of $359.0 million for the three months ended March 31, 2025. The increase in this segment’s revenues was driven by its field services division as a result of progress made on a large solar project during the first quarter of 2026. Partially offsetting this growth was a decrease in revenues of this segment’s shop services division due to lower heat exchanger sales and related services.</w:t>
      </w:r>
    </w:p>
    <w:p>
      <w:pPr>
        <w:spacing w:after="0" w:line="72" w:lineRule="exact"/>
        <w:rPr>
          <w:sz w:val="20"/>
          <w:szCs w:val="20"/>
          <w:color w:val="auto"/>
        </w:rPr>
      </w:pPr>
    </w:p>
    <w:p>
      <w:pPr>
        <w:ind w:right="1400" w:firstLine="405"/>
        <w:spacing w:after="0" w:line="383" w:lineRule="auto"/>
        <w:rPr>
          <w:sz w:val="20"/>
          <w:szCs w:val="20"/>
          <w:color w:val="auto"/>
        </w:rPr>
      </w:pPr>
      <w:r>
        <w:rPr>
          <w:rFonts w:ascii="Times New Roman" w:cs="Times New Roman" w:eastAsia="Times New Roman" w:hAnsi="Times New Roman"/>
          <w:sz w:val="18"/>
          <w:szCs w:val="18"/>
          <w:color w:val="auto"/>
        </w:rPr>
        <w:t xml:space="preserve">For the three months ended March 31, 2025, our United Kingdom building services segment generated revenues of $105.3 million. </w:t>
      </w:r>
      <w:r>
        <w:rPr>
          <w:rFonts w:ascii="Times New Roman" w:cs="Times New Roman" w:eastAsia="Times New Roman" w:hAnsi="Times New Roman"/>
          <w:sz w:val="18"/>
          <w:szCs w:val="18"/>
          <w:i w:val="1"/>
          <w:iCs w:val="1"/>
          <w:color w:val="auto"/>
        </w:rPr>
        <w:t>Cost of sales and gross profit</w:t>
      </w:r>
    </w:p>
    <w:p>
      <w:pPr>
        <w:spacing w:after="0" w:line="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sales, gross profit (revenues less cost of sales), and gross profit as a percentage of revenues (“gross profit margin”) (in thousands, except for percentages):</w:t>
      </w:r>
    </w:p>
    <w:p>
      <w:pPr>
        <w:spacing w:after="0" w:line="12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3,764,283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3,144,654</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863,950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722,718</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r>
    </w:tbl>
    <w:p>
      <w:pPr>
        <w:spacing w:after="0" w:line="15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Consolidated gross profit for the three months ended March 31, 2026 was $864.0 million, or 18.7% of revenues, compared to consolidated gross profit of $722.7 million, or 18.7% of revenues, for the three months ended March 31, 2025. Gross profit for the three months ended March 31, 2026 included incremental acquisition contribution of $48.3 million, net of amortization expense attributable to identifiable intangible assets of $4.9 million. Excluding the impact of acquisitions, the year-over-year increase in gross profit was driven by the revenue growth generated by each of our reportable segments.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selling, general and administrative expenses (“SG&amp;A”) and selling, general and administrative expenses as a percentage of revenues (“SG&amp;A margin”) (in thousands, except for percentages):</w:t>
      </w:r>
    </w:p>
    <w:p>
      <w:pPr>
        <w:spacing w:after="0" w:line="11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460,105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403,962</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margin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1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selling, general and administrative expenses for the three months ended March 31, 2026 were $460.1 million, or 9.9% of revenues, compared to selling, general and administrative expenses of $404.0 million, or 10.4% of revenues, for the three months ended March 31, 2025. Selling, general and administrative expenses for the three months ended March 31, 2026 included $27.7 million of incremental expenses directly related to companies acquired, including amortization expense attributable to identifiable intangible assets of $3.9 million.</w:t>
      </w:r>
    </w:p>
    <w:p>
      <w:pPr>
        <w:spacing w:after="0" w:line="8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Excluding incremental expenses resulting from acquisitions, the increase in our selling, general and administrative expenses was primarily as a result of greater: (a) incentive compensation expense, predominantly within our United States construction segments and our United States building services segment, given higher projected annual operating results, (b) salaries and related employment expenses, due to additional headcount to support our organic revenue growth as well as annual cost of living adjustments, and (c) rent and other occupancy costs, partially as a result of the continued build-out or expansion of our fabrication facilities.</w:t>
      </w:r>
    </w:p>
    <w:p>
      <w:pPr>
        <w:spacing w:after="0" w:line="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Partially offsetting these increases were reductions in: (a) professional fees, as the results for the prior year included $9.4 million of transaction related costs incurred in connection with the acquisition of Miller Electric, and (b) the provision for credit losses, given a reserve taken within our United States industrial services segment in the prior year. Selling, general and administrative expenses additionally decreased by $7.2 million as a result of the sale of EMCOR UK.</w:t>
      </w:r>
    </w:p>
    <w:p>
      <w:pPr>
        <w:spacing w:after="0" w:line="9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50 basis point decrease in our SG&amp;A margin year-over-year was primarily due to an increase in revenues without a commensurate increase in certain costs as we successfully leveraged our overhead structure during this period of growth.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6" w:lineRule="exact"/>
        <w:rPr>
          <w:sz w:val="20"/>
          <w:szCs w:val="20"/>
          <w:color w:val="auto"/>
        </w:rPr>
      </w:pPr>
    </w:p>
    <w:p>
      <w:pPr>
        <w:jc w:val="both"/>
        <w:ind w:right="2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operating income (loss) and operating income (loss) as a percentage of segment revenues (“operating margin”) (in thousands, except for percentages):</w:t>
      </w:r>
    </w:p>
    <w:tbl>
      <w:tblPr>
        <w:tblLayout w:type="fixed"/>
        <w:tblInd w:w="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37"/>
        </w:trPr>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1"/>
                <w:szCs w:val="11"/>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electrical construction and facilities services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mechanical construction and facilities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administration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410,072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Operating income for the three months ended March 31, 2026 was $403.8 million, an increase of $85.1 million compared to operating income of $318.8 million for the three months ended March 31, 2025. Operating margin for the three months ended March 31, 2026 was 8.7% compared to an operating margin of 8.2% for the three months ended March 31, 2025. Operating income for the three months ended March 31, 2026 included incremental acquisition contribution of $20.6 million, net of amortization expense attributable to identifiable intangible assets of $8.8 million. Excluding the impact of acquisitions, and as described in more detail below, the year-over-year increase in profitability was predominantly a result of the revenue growth we experienced in the quarter, which led to greater gross profit and a reduction in the ratio of selling, general and administrative expenses to revenues.</w:t>
      </w:r>
    </w:p>
    <w:p>
      <w:pPr>
        <w:spacing w:after="0" w:line="12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Operating income of our United States electrical construction and facilities services segment was $174.5 million for the three months ended March 31, 2026, an increase of $38.4 million compared to operating income of $136.1 million for the three months ended March 31, 2025. This segment’s operating income for the first quarter of 2026 included incremental acquisition contribution of $8.5 million, net of amortization expense attributable to identifiable intangible assets of $3.7 million. Excluding incremental acquisition contribution, the increase in operating income of this segment resulted from greater gross profit given the growth in its revenues. Although the most significant increase in gross profit was experienced within the network and communications market sector, increased gross profit was generated within nearly all of the other market sectors in which we operate, in line with the revenue trends described above. Operating margin of our United States electrical construction and facilities services segment was 12.1% for the three months ended March 31, 2026, compared to an operating margin of 12.5% for the three months ended March 31, 2025. The 40 basis point decrease in this segment’s operating margin was primarily a result of the incremental intangible asset amortization expense referenced above. Evidenced by consistent gross profit margins year-over-year, this segment continues to execute well across its portfolio of projects.</w:t>
      </w:r>
    </w:p>
    <w:p>
      <w:pPr>
        <w:spacing w:after="0" w:line="1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United States mechanical construction and facilities services segment’s operating income for the three months ended March 31, 2026 was $221.6 million, an increase of $34.9 million compared to operating income of $186.7 million for the three months ended March 31, 2025. This segment’s operating income for the first quarter of 2026 included incremental acquisition contribution of $12.3 million, net of amortization expense attributable to identifiable intangible assets of $4.9 million. Excluding incremental acquisition contribution, the increase in operating income of this segment resulted from greater gross profit given the growth in its revenues. Greater profitability was experienced across the majority of the market sectors in which we operate, in line with the fluctuations in revenue described above and with the most significant increase in gross profit coming from network and communications. Operating margin of our United States mechanical construction and facilities services segment was 10.9% for the three months ended March 31, 2026, compared to an operating margin of 11.9% for the three months ended March 31, 2025. The 100 basis point decrease in this segment’s operating margin was primarily a result of a change in project mix, which included: (a) a greater percentage of revenues generated from projects for which we are acting as either the construction manager or prime contractor and that carry lower than average gross profit margins, and (b) an increase in the number of guaranteed maximum price and cost plus contracts, particularly in newer geographies or on projects where design or scope is still evolving.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Operating income of our United States building services segment was $40.4 million, or 5.2% of revenues, for the three months ended March 31, 2026 compared to $36.4 million, or 4.9% of revenues, for the three months ended March 31, 2025. This segment experienced an increase in gross profit and gross profit margin, led by its mechanical services division, which generated margin expansion across its service repair and maintenance contracts and building automation and controls projects.</w:t>
      </w:r>
    </w:p>
    <w:p>
      <w:pPr>
        <w:spacing w:after="0" w:line="11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United States industrial services segment reported operating income of $12.8 million, or 3.3% of revenues, for the three months ended March 31, 2026, compared to operating income of $6.8 million, or 1.9% of revenues, for the three months ended March 31, 2025. Contributing to the favorable year-over-year comparison was the impact of a $4.0 million increase in the allowance for credit losses in the prior year period, which negatively impacted this segment’s operating margin by 110 basis points for the three months ended March 31, 2025. Excluding this impact, the increase in operating income and operating margin of this segment was primarily a result of an increase in gross profit and gross profit margin within its field services division due to the revenue growth referenced above, coupled with a more favorable mix of work.</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operating income of our United Kingdom building services segment was $5.0 million, or 4.7% of revenues.</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corporate administration expenses for the three months ended March 31, 2026 were $45.5 million, compared to $52.2 million for the three months ended March 31, 2025. The reduction in corporate expenses was primarily due to a decrease in professional fees, as the prior year period included $9.4 million of transaction related costs incurred in connection with the acquisition of Miller Electric. This decrease was partially offset by an increase in certain employment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interest income was $6.2 million, compared to net interest income of $5.4 million for the three months ended March 31, 2025.</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our income tax provision was $104.6 million compared to an income tax provision of $83.5 million for the three months ended March 31, 2025. Our effective income tax rate for the three months ended March 31, 2026 was 25.5% compared to an effective income tax rate for the three months ended March 31, 2025 of 25.8%. Refer to Note 9 - Income Taxes of the notes to consolidated financial statements for further discussion regarding our income tax provision and effective income tax rate.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Unsatisfied Performance Obligations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transaction price allocated to remaining unsatisfied performance obligations (“remaining performance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our reportable segments and their respective percentage of total remaining performance obligations (in thousands, except for percentages):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3"/>
                <w:szCs w:val="1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performance obligations:</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 States electrical construction and</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facilities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5,613,652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4,963,855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4,284,106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175"/>
        </w:trPr>
        <w:tc>
          <w:tcPr>
            <w:tcW w:w="4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United States mechanical construction and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facilities services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8,563,253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5,751,004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building services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1,188,537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States industrial 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136,076</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224,832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United States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15,620,670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11,549,527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United Kingdom building 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200,526</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operations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15,620,670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13,253,664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11,750,053</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remaining performance obligations at March 31, 2026 were a record $15.62 billion compared to $13.25 billion at December 31, 2025 and $11.75 billion at March 31, 2025. When compared to December 31, 2025, remaining performance obligations increased by $2.37 billion due to new contract awards within our United States construction segments and our United States building services segment. We experienced growth in remaining performance obligations from the majority of the market sectors we serve, with the most significant increases within: (a) network and communications, predominantly as a result of several data center construction contracts, (b) water and wastewater, given recent project awards in the Southeast region of the United States, (c) institutional, largely as we continue to see demand for our services from education customers, including a number of colleges and universities, and (d) healthcare, resulting from certain contract awards in the Northeast region of the United States. Partially offsetting these increases were reductions from the manufacturing and industrial and hospitality and entertainment market sectors, due to progress made on certain projects during the first quarter of 2026. See Note 3 - Revenue from Contracts with Customers of the notes to consolidated financial statements for further disclosure regarding our remaining performance obligations.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section discusses our principal liquidity and capital resources, as well as our primary liquidity requirements and sources and uses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investment in our growth strategies through business acquisitions and capital expenditures, satisfaction of contractual commitments, including principal and interest payments on any outstanding indebtedness, and shareholder return through share repurchases and dividend payments. We strive to maintain a balanced approach to capital allocation in order to achieve growth, deliver value, and minimize risk.</w:t>
      </w:r>
    </w:p>
    <w:p>
      <w:pPr>
        <w:spacing w:after="0" w:line="11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Management monitors financial markets and overall economic conditions for factors that may affect our liquidity and capital resources and adjusts our capital allocation strategy as necessary. Negative macroeconomic trends could have an adverse effect on future liquidity if we experience delays in the payment of outstanding receivables beyond normal payment terms, an increase in credit losses, or significant increases in the price of commodities or the materials and equipment utilized for our project and service work, beyond those experienced in recent years. In addition, during economic downturns, there have typically been fewer small discretionary projects from the private sector and our competitors have aggressively bid larger long-term infrastructure and public sector contracts. Our liquidity is also impacted by: (a) the type and length of construction contracts in place, as performance of long duration contracts typically requires greater amounts of working capital, (b) the level of turnaround activities within our United States industrial services segment, as such projects are billed in arrears pursuant to contractual terms that are standard within the industry, and (c) the billing terms of our maintenance contracts, including those within our United States building services segment. While we strive to negotiate favorable billing terms, which allow us to invoice in advance of costs incurred on certain of our contracts, there can be no assurance that such terms will be agreed to by our customers.</w:t>
      </w:r>
    </w:p>
    <w:p>
      <w:pPr>
        <w:spacing w:after="0" w:line="1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$916.4 million, which are maintained in depository accounts and highly liquid investments with original maturity dates of three months or less. Both our short-term and long-term liquidity requirements are expected to be met through our cash and cash equivalent balances, cash generated from our operations, and, as necessary, the borrowing capacity under our revolving credit facility. Our credit agreement provides for a $1.30 billion revolving credit facility, for which there was $1.23 billion of available capacity as of March 31, 2026.</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Refer to Note 7 - Debt of the notes to consolidated financial statements for further information regarding our credit agreement. Based upon our current credit rating and financial position, we can also reasonably expect to be able to secure long-term debt financing if required to achieve our strategic objectives; however, no assurances can be made that such debt financing will be available on favorable terms. We believe that we have sufficient financial resources available to meet our short-term and foreseeable long-term liquidity requirements.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summary of our operating, investing, and financing cash flows (in thousands):</w:t>
      </w:r>
    </w:p>
    <w:p>
      <w:pPr>
        <w:spacing w:after="0" w:line="143"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8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(875,441)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(762,930)</w:t>
            </w: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our cash balance decreased by $195.5 million from $1.11 billion at December 31, 2025 to $916.4 million at March 31, 2026. Changes in our cash position from December 31, 2025 to March 31, 2026 are described in further detail below.</w:t>
      </w:r>
    </w:p>
    <w:p>
      <w:pPr>
        <w:spacing w:after="0" w:line="9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 Operating cash flows generally represent our net income as adjusted for certain non-cash items and changes in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Net cash provided by operating activities for the three months ended March 31, 2026 was $0.6 million compared to $108.5 million for the three months ended March 31, 2025. The decrease in our operating cash flow was primarily a result of an increase in accounts receivable given our strong organic revenue growth during the first quarter of 2026. These amounts will be converted to cash as the year progresses and payments are received by our customers in the ordinary course of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 Investing cash flows consist primarily of payments for acquisition of businesses, capital expenditures, and proceeds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or disposal of property, plant, and equipment or other long-term assets. Net cash used in investing activities for the three months ended March 31, 2026 decreased by $803.7 million compared to the three months ended March 31, 2025, primarily due to a decrease in payments for acquisitions given the acquisition of Miller Electric in the prior year period.</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 Financing cash flows consist primarily of the issuance and repayment of short-term and long-term debt, repurchases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payments of dividends to stockholders, and the issuance of common stock through certain equity plans. Net cash used in financing activities was $124.4 million for the three months ended March 31, 2026 compared to $0.8 million for the three months ended March 31, 2025. The $123.5 million increase in cash used in financing activities was primarily due to the impact in the first quarter of 2025 of $250.0 million of proceeds from our revolving credit facility, partially offset by a $137.7 million decrease in common stock repurchases made by us year-over-year. The timing of common stock repurchases is at management’s discretion subject to securities laws and other legal requirements and depends upon several factors, including market and business conditions, current and anticipated future liquidity, share price, and share availability, among others. For additional detail regarding our share repurchase program, refer to Note 10 - Common Stock of the notes to consolidated financial statements.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currently pay a regular quarterly dividend of $0.40 per share. For the three months ended March 31, 2026 and 2025, cash payments related to dividends were $17.8 million and $11.5 million, respectively. Our credit agreement places limitations on the payment of dividends on our common stock. However, we do not believe that the terms of such agreement currently materially limit our ability to pay such quarterly dividends for the foreseeable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 from Contractual and Other Obligations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our short-term and long-term material cash requirements for known contractual and other obligations were as follows:</w:t>
      </w:r>
    </w:p>
    <w:p>
      <w:pPr>
        <w:spacing w:after="0" w:line="15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Outstanding Debt and Interest Payments </w:t>
      </w:r>
      <w:r>
        <w:rPr>
          <w:rFonts w:ascii="Times New Roman" w:cs="Times New Roman" w:eastAsia="Times New Roman" w:hAnsi="Times New Roman"/>
          <w:sz w:val="18"/>
          <w:szCs w:val="18"/>
          <w:color w:val="auto"/>
        </w:rPr>
        <w:t>– As of March 31, 2026, there were no direct borrowings outstanding under our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payments on any future borrowings will be determined based on prevailing interest rates at that time. Refer to Note 7 - Debt of the notes to consolidated financial statements for further detail of our debt obligations, including our revolving credit facility.</w:t>
      </w:r>
    </w:p>
    <w:p>
      <w:pPr>
        <w:spacing w:after="0" w:line="106"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 In the normal course of business, we lease real estate, vehicles, and equipment under various arrangements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either operating or finance leases. Future payments for such leases, excluding leases with initial terms of one year or less, were $622.4 million at March 31, 2026, with $127.5 million payable within the next 12 months.</w:t>
      </w:r>
    </w:p>
    <w:p>
      <w:pPr>
        <w:spacing w:after="0" w:line="9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Open Purchase Obligations </w:t>
      </w:r>
      <w:r>
        <w:rPr>
          <w:rFonts w:ascii="Times New Roman" w:cs="Times New Roman" w:eastAsia="Times New Roman" w:hAnsi="Times New Roman"/>
          <w:sz w:val="18"/>
          <w:szCs w:val="18"/>
          <w:color w:val="auto"/>
        </w:rPr>
        <w:t>– As of March 31, 2026, we had $3.41 billion of open purchase obligations, of which payments totaling $2.82 billion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become due within the next 12 months. These obligations represent open purchase orders to suppliers and subcontractors related to our construction and services contracts. These purchase orders are not reflected in the Consolidated Balance Sheets and are not expected to impact future liquidity as amounts should be recovered through customer billings.</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Obligations </w:t>
      </w:r>
      <w:r>
        <w:rPr>
          <w:rFonts w:ascii="Times New Roman" w:cs="Times New Roman" w:eastAsia="Times New Roman" w:hAnsi="Times New Roman"/>
          <w:sz w:val="18"/>
          <w:szCs w:val="18"/>
          <w:color w:val="auto"/>
        </w:rPr>
        <w:t>– As described in further detail in Note 11 - Commitments and Contingencies of the notes to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loss payment deductibles and/or self-insured retentions for certain insurance matters. As of March 31, 2026, our insurance liabilities, net of estimated recoveries, were $315.8 million. Of this net amount, $73.5 million is estimated to be payable within the next 12 months. Due to many uncertainties inherent in resolving these matters, it is not practical to estimate these payments beyond such period. To the extent that the amount required to settle claims covered by insurance continues to increase, the cost of our insurance coverage, including premiums and deductibles, is likely to increase.</w:t>
      </w:r>
    </w:p>
    <w:p>
      <w:pPr>
        <w:spacing w:after="0" w:line="11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Liabilities </w:t>
      </w:r>
      <w:r>
        <w:rPr>
          <w:rFonts w:ascii="Times New Roman" w:cs="Times New Roman" w:eastAsia="Times New Roman" w:hAnsi="Times New Roman"/>
          <w:sz w:val="18"/>
          <w:szCs w:val="18"/>
          <w:color w:val="auto"/>
        </w:rPr>
        <w:t>– We have incurred liabilities related to contingent consideration arrangements associated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payable in the event discrete performance objectives are achieved by the acquired businesses during designated post-acquisition periods. The aggregate amount of these liabilities can change due to additional business acquisitions, settlement of outstanding liabilities, changes in the fair value of amounts owed based on performance during such post-acquisition periods, and accretion in present value. As of March 31, 2026, the present value of expected future payments relating to these contingent consideration arrangements was $2.5 million. Of this amount, $2.3 million is estimated as being payable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material cash requirements for other potential obligations, for which we cannot reasonably estimate future payments, include the following:</w:t>
      </w:r>
    </w:p>
    <w:p>
      <w:pPr>
        <w:spacing w:after="0" w:line="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 We are involved in several legal proceedings in which damages and claims have been asserted against us. While litigation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many uncertainties and the outcome of litigation is not predictable with assurance, we do not believe that any such matters will have a material adverse effect on our financial position, results of operations, or liquidity. Refer to Note 11 - Commitments and Contingencies of the notes to consolidated financial statements for more information regarding legal proceedings.</w:t>
      </w:r>
    </w:p>
    <w:p>
      <w:pPr>
        <w:spacing w:after="0" w:line="9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Multiemployer Benefit Plans </w:t>
      </w:r>
      <w:r>
        <w:rPr>
          <w:rFonts w:ascii="Times New Roman" w:cs="Times New Roman" w:eastAsia="Times New Roman" w:hAnsi="Times New Roman"/>
          <w:sz w:val="18"/>
          <w:szCs w:val="18"/>
          <w:color w:val="auto"/>
        </w:rPr>
        <w:t>– 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agreements. Our future contributions to the multiemployer plans are dependent upon a number of factors. Amounts of future contributions that we would be contractually obligated to make pursuant to these plans cannot be reasonably estimated. Refer to Note 14 - Retirement Plans of the notes to consolidated financial statements included in Item 8. Financial Statements and Supplementary Data of our Form 10-K for the year ended December 31, 2025 for more information regarding multiemployer benefit plans.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 and Other Commercial Commitments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As of March 31, 2026, based on the percentage-of-completion of our projects covered by surety bonds, our aggregate estimated exposure, assuming defaults on all our then existing contractual obligations, was $4.19 billion, which represents approximately 27% of our total remaining performance obligations.</w:t>
      </w:r>
    </w:p>
    <w:p>
      <w:pPr>
        <w:spacing w:after="0" w:line="12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Surety bonds expire at various times ranging from final completion of a project to a period extending beyond contract completion in certain circumstances. Such amounts can also fluctuate from period to period based upon the mix and level of our bonded operating activity. For example, public sector contracts require surety bonds more frequently than private sector contracts and, accordingly, our bonding requirements typically increase as the amount of our public sector work increases. Our estimated maximum exposure as it relates to the value of the surety bonds outstanding is lowered on each bonded project as the cost to complete is reduced, and each commitment under a surety bond generally extinguishes concurrently with the expiration of its related contractual obligation.</w:t>
      </w:r>
    </w:p>
    <w:p>
      <w:pPr>
        <w:spacing w:after="0" w:line="1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Surety bonds are sometimes provided to secure obligations for wages and benefits payable to or for certain of our employees, at the request of labor unions representing such employees. In addition, surety bonds or letters of credit may be issued as collateral for certain insurance obligations. As of March 31, 2026, we satisfied $105.5 million and $72.8 million of the collateral requirements of our insurance programs by utilizing surety bonds and letters of credit, respectively. All such letters of credit were issued under our revolving credit facility, therefore reducing the available capacity of such facility.</w:t>
      </w:r>
    </w:p>
    <w:p>
      <w:pPr>
        <w:spacing w:after="0" w:line="11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are not aware of any losses in connection with surety bonds that have been posted on our behalf, and we do not expect to incur significant losses in the foreseeable future.</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discuss with our current and other surety bond providers the amounts of surety bonds that may be available to us based on our financial strength and the absence of any default by us on any surety bond issued on our behalf and believe those amounts are currently adequate for our needs. However, if we experience changes in our bonding relationships or if there are adverse changes in the surety industry, we may: (a) seek to satisfy certain customer requests for surety bonds by posting other forms of collateral in lieu of surety bonds, such as letters of credit, parent company guarantees, or cash, in order to convince customers to forego the requirement for surety bonds, (b) increase our activities in our businesses that rarely require surety bonds, and/or (c) refrain from bidding for certain projects that require surety bonds.</w:t>
      </w:r>
    </w:p>
    <w:p>
      <w:pPr>
        <w:spacing w:after="0" w:line="1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would be able to effectuate alternatives to providing surety bonds to our customers or to obtain, on favorable terms, sufficient additional work that does not require surety bonds. Accordingly, a reduction in the availability of surety bonds could have a material adverse effect on our financial position, results of operations, and/or cash flows.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at times, guarantee obligations of our subsidiaries under certain contracts. Generally, we are liable under such an arrangement only if our subsidiary fails to perform its obligations under the contract. Historically, we have not incurred any substantial liabilities as a consequence of these guarantees.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have any other material financial guarantees or off-balance sheet arrangements other than those disclosed herein.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review new accounting standards to determine the expected impact, if any, that the adoption of such standards will have on our financial position and/or results of operations. See Note 2 - New Accounting Pronouncements of the notes to consolidated financial statements for further information regarding new accounting standards, including the anticipated dates of adoption and the effects on our consolidated financial position, results of operations, or liquidity.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is based on the application of significant accounting policies, which require management to make estimates and assumptions. Our significant accounting policies are described further in Note 2 - Summary of Significant Accounting Policies of the notes to consolidated financial statements included in Item 8. Financial Statements and Supplementary Data of our Form 10-K for the year ended December 31, 2025. We base our estimates on historical experience, known or expected trends, third-party valuations, and various other assumptions that we believe to be reasonable under the circumstances. As future events and their effects cannot be determined with precision, actual results could differ significantly from these estimates. There have been no significant changes to our critical accounting policies or methods during the three months ended March 31, 2026.</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not used any derivative financial instruments during the three months ended March 31, 2026, including trading or speculating on changes in interest rates or commodity prices of materials used in our business.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for any borrowings under our revolving credit facility, which bear interest at variable rates. Although the Federal Reserve Board lowered the federal funds rate in 2024 and 2025, the pace and extent of additional rate cuts are uncertain. For further information regarding our credit facility and associated borrowing rates, refer to Note 7 - Debt of the notes to consolidated financial statements.</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exposed to construction market risk and its potential related impact on accounts receivable or contract assets on uncompleted contracts. The amounts recorded may be at risk if our customers’ ability to pay these obligations is negatively impacted by economic conditions. We continually monitor the creditworthiness of our customers and maintain on-going discussions with customers regarding contract status with respect to change orders and billing terms. Therefore, we believe we take appropriate action to manage market and other risks, but there is no assurance that we will be able to reasonably identify all risks with respect to the collectability of these assets.</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we are exposed to market risk of fluctuations in certain commodity prices of materials, such as copper and steel, which are used as components of supplies or materials utilized in our construction, building services, and industrial services operations. Trade and sanction policies (including tariffs) may also affect the pricing of such supplies and materials. We are also exposed to increases in energy prices, particularly as they relate to gasoline prices for our fleet of approximately 14,600 vehicles. While we believe we can increase our contract prices to adjust for some price increases in commodities, there can be no assurance that such price increases, if they were to occur, would be recoverable. Additionally, certain of our fixed price contracts do not allow us to adjust our prices and, as a result, increases in material costs could reduce our profitability with respect to projects in progress.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Based on an evaluation of our disclosure controls and procedures (as required by Rule 13a-15(b) of the Securities Exchange Act of 1934), our Chairman, President, and Chief Executive Officer, Anthony J. Guzzi, and our Senior Vice President, Chief Financial Officer and Chief Accounting Officer, Jason R. Nalbandian, have concluded that our disclosure controls and procedures (as defined in Rule 13a-15(e) of the Securities Exchange Act of 1934) are effective as of the end of the period covered by this report.</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Securities Exchange Act of 1934) during the fiscal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11 - Commitments and Contingencies of the notes to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repurchases of our common stock made by us during the quarter ended March 31,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216"/>
        </w:trPr>
        <w:tc>
          <w:tcPr>
            <w:tcW w:w="2460" w:type="dxa"/>
            <w:vAlign w:val="bottom"/>
            <w:gridSpan w:val="2"/>
            <w:vMerge w:val="continue"/>
          </w:tcPr>
          <w:p>
            <w:pPr>
              <w:spacing w:after="0"/>
              <w:rPr>
                <w:sz w:val="18"/>
                <w:szCs w:val="18"/>
                <w:color w:val="auto"/>
              </w:rPr>
            </w:pPr>
          </w:p>
        </w:tc>
        <w:tc>
          <w:tcPr>
            <w:tcW w:w="20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Shares Purchased </w:t>
            </w:r>
            <w:r>
              <w:rPr>
                <w:rFonts w:ascii="Times New Roman" w:cs="Times New Roman" w:eastAsia="Times New Roman" w:hAnsi="Times New Roman"/>
                <w:sz w:val="21"/>
                <w:szCs w:val="21"/>
                <w:b w:val="1"/>
                <w:bCs w:val="1"/>
                <w:color w:val="auto"/>
                <w:w w:val="94"/>
                <w:vertAlign w:val="superscript"/>
              </w:rPr>
              <w:t>(1) (2)</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Paid Per Share </w:t>
            </w:r>
            <w:r>
              <w:rPr>
                <w:rFonts w:ascii="Times New Roman" w:cs="Times New Roman" w:eastAsia="Times New Roman" w:hAnsi="Times New Roman"/>
                <w:sz w:val="21"/>
                <w:szCs w:val="21"/>
                <w:b w:val="1"/>
                <w:bCs w:val="1"/>
                <w:color w:val="auto"/>
                <w:w w:val="97"/>
                <w:vertAlign w:val="superscript"/>
              </w:rPr>
              <w:t>(3)</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169"/>
        </w:trPr>
        <w:tc>
          <w:tcPr>
            <w:tcW w:w="23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1, 2026 to</w:t>
            </w: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$680,584,373</w:t>
            </w:r>
          </w:p>
        </w:tc>
        <w:tc>
          <w:tcPr>
            <w:tcW w:w="0" w:type="dxa"/>
            <w:vAlign w:val="bottom"/>
          </w:tcPr>
          <w:p>
            <w:pPr>
              <w:spacing w:after="0"/>
              <w:rPr>
                <w:sz w:val="1"/>
                <w:szCs w:val="1"/>
                <w:color w:val="auto"/>
              </w:rPr>
            </w:pPr>
          </w:p>
        </w:tc>
      </w:tr>
      <w:tr>
        <w:trPr>
          <w:trHeight w:val="175"/>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 2026 to</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20,731</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723.52</w:t>
            </w:r>
          </w:p>
        </w:tc>
        <w:tc>
          <w:tcPr>
            <w:tcW w:w="12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20,731</w:t>
            </w:r>
          </w:p>
        </w:tc>
        <w:tc>
          <w:tcPr>
            <w:tcW w:w="2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$665,485,687</w:t>
            </w: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1, 2026 to</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101,275</w:t>
            </w:r>
          </w:p>
        </w:tc>
        <w:tc>
          <w:tcPr>
            <w:tcW w:w="17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711.97</w:t>
            </w:r>
          </w:p>
        </w:tc>
        <w:tc>
          <w:tcPr>
            <w:tcW w:w="120" w:type="dxa"/>
            <w:vAlign w:val="bottom"/>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101,275</w:t>
            </w:r>
          </w:p>
        </w:tc>
        <w:tc>
          <w:tcPr>
            <w:tcW w:w="2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$592,902,658</w:t>
            </w:r>
          </w:p>
        </w:tc>
        <w:tc>
          <w:tcPr>
            <w:tcW w:w="0" w:type="dxa"/>
            <w:vAlign w:val="bottom"/>
          </w:tcPr>
          <w:p>
            <w:pPr>
              <w:spacing w:after="0"/>
              <w:rPr>
                <w:sz w:val="1"/>
                <w:szCs w:val="1"/>
                <w:color w:val="auto"/>
              </w:rPr>
            </w:pPr>
          </w:p>
        </w:tc>
      </w:tr>
      <w:tr>
        <w:trPr>
          <w:trHeight w:val="22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122,006</w:t>
            </w:r>
          </w:p>
        </w:tc>
        <w:tc>
          <w:tcPr>
            <w:tcW w:w="1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713.93</w:t>
            </w:r>
          </w:p>
        </w:tc>
        <w:tc>
          <w:tcPr>
            <w:tcW w:w="12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122,006</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jc w:val="both"/>
        <w:ind w:left="420" w:hanging="412"/>
        <w:spacing w:after="0" w:line="258" w:lineRule="auto"/>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2011, our Board of Directors (the “Board”) authorized a share repurchase program allowing us to begin repurchasing shares of our outstanding common stock. Subsequently, the Board has from time to time increased the amount authorized for repurchases under such program. Since the inception of the repurchase program, through March 31, 2026, the Board has authorized us to repurchase up to $3.65 billion of our outstanding common stock. As of March 31, 2026, there remained authorization for us to repurchase $592.9 million of our shares. No shares have been repurchased by us since the program was announced other than pursuant to such program. The repurchase program has no expiration date, does not obligate the Company to acquire any particular amount of common stock, and may be suspended, recommenced, or discontinued at any time or from time to time without prior notice. Refer to Note 10 - Common Stock of the notes to consolidated financial statements for further information regarding our share repurchase program.</w:t>
      </w:r>
    </w:p>
    <w:p>
      <w:pPr>
        <w:spacing w:after="0" w:line="60" w:lineRule="exact"/>
        <w:rPr>
          <w:rFonts w:ascii="Times New Roman" w:cs="Times New Roman" w:eastAsia="Times New Roman" w:hAnsi="Times New Roman"/>
          <w:sz w:val="16"/>
          <w:szCs w:val="16"/>
          <w:color w:val="auto"/>
        </w:rPr>
      </w:pPr>
    </w:p>
    <w:p>
      <w:pPr>
        <w:ind w:left="420" w:right="20" w:hanging="412"/>
        <w:spacing w:after="0" w:line="298" w:lineRule="auto"/>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25,223 shares surrendered to the Company by participants in our share-based compensation plans to satisfy minimum tax withholdings for common stock issued under such plans.</w:t>
      </w:r>
    </w:p>
    <w:p>
      <w:pPr>
        <w:spacing w:after="0" w:line="29" w:lineRule="exact"/>
        <w:rPr>
          <w:rFonts w:ascii="Times New Roman" w:cs="Times New Roman" w:eastAsia="Times New Roman" w:hAnsi="Times New Roman"/>
          <w:sz w:val="16"/>
          <w:szCs w:val="16"/>
          <w:color w:val="auto"/>
        </w:rPr>
      </w:pPr>
    </w:p>
    <w:p>
      <w:pPr>
        <w:ind w:left="420" w:hanging="412"/>
        <w:spacing w:after="0" w:line="280" w:lineRule="auto"/>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paid per share excludes any applicable broker commission and excise tax due. However, as such amounts are considered direct costs associated with the repurchase of our common stock, they have been reflected as a reduction in the remaining authorization under our share repurchase program.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by Section 1503(a) of the Dodd-Frank Wall Street Reform and Consumer Protection Act and Item 104 of Regulation S-K (17 CFR 229.104) is included in Exhibit 95.1 to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or executive officers adopted or terminated any: (a) contract, instruction, or written plan for the purchase or sale of Company securities intended to satisfy the affirmative defense conditions of Rule 10b5-1 or (b) non 10b5-1 trading arrangement, each as defined in Item 408(a) of Regulation 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40" w:type="dxa"/>
            <w:vAlign w:val="bottom"/>
            <w:gridSpan w:val="15"/>
          </w:tcPr>
          <w:p>
            <w:pPr>
              <w:ind w:left="3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21"/>
        </w:trPr>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8"/>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Incorporated By Reference to or</w:t>
            </w:r>
          </w:p>
        </w:tc>
        <w:tc>
          <w:tcPr>
            <w:tcW w:w="0" w:type="dxa"/>
            <w:vAlign w:val="bottom"/>
          </w:tcPr>
          <w:p>
            <w:pPr>
              <w:spacing w:after="0"/>
              <w:rPr>
                <w:sz w:val="1"/>
                <w:szCs w:val="1"/>
                <w:color w:val="auto"/>
              </w:rPr>
            </w:pPr>
          </w:p>
        </w:tc>
      </w:tr>
      <w:tr>
        <w:trPr>
          <w:trHeight w:val="196"/>
        </w:trPr>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8"/>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Filed Herewith, as Indicated Below</w:t>
            </w:r>
          </w:p>
        </w:tc>
        <w:tc>
          <w:tcPr>
            <w:tcW w:w="0" w:type="dxa"/>
            <w:vAlign w:val="bottom"/>
          </w:tcPr>
          <w:p>
            <w:pPr>
              <w:spacing w:after="0"/>
              <w:rPr>
                <w:sz w:val="1"/>
                <w:szCs w:val="1"/>
                <w:color w:val="auto"/>
              </w:rPr>
            </w:pPr>
          </w:p>
        </w:tc>
      </w:tr>
      <w:tr>
        <w:trPr>
          <w:trHeight w:val="337"/>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EMCOR filed December</w:t>
            </w:r>
          </w:p>
        </w:tc>
        <w:tc>
          <w:tcPr>
            <w:tcW w:w="20" w:type="dxa"/>
            <w:vAlign w:val="bottom"/>
          </w:tcPr>
          <w:p>
            <w:pPr>
              <w:spacing w:after="0"/>
              <w:rPr>
                <w:sz w:val="24"/>
                <w:szCs w:val="24"/>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Exhibit 3(a-5) to EMCOR’s Registration Statement on Form 10 as</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340" w:type="dxa"/>
            <w:vAlign w:val="bottom"/>
            <w:gridSpan w:val="3"/>
          </w:tcPr>
          <w:p>
            <w:pPr>
              <w:ind w:left="460"/>
              <w:spacing w:after="0" w:line="156" w:lineRule="exact"/>
              <w:rPr>
                <w:sz w:val="20"/>
                <w:szCs w:val="20"/>
                <w:color w:val="auto"/>
              </w:rPr>
            </w:pPr>
            <w:r>
              <w:rPr>
                <w:rFonts w:ascii="Times New Roman" w:cs="Times New Roman" w:eastAsia="Times New Roman" w:hAnsi="Times New Roman"/>
                <w:sz w:val="18"/>
                <w:szCs w:val="18"/>
                <w:color w:val="auto"/>
              </w:rPr>
              <w:t>15, 1994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originally filed March 17, 1995 (“Form 10”)</w:t>
              </w:r>
            </w:hyperlink>
          </w:p>
        </w:tc>
        <w:tc>
          <w:tcPr>
            <w:tcW w:w="16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dated November 28, 1995 to the Restated Certificate</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Exhibit 3(a-2) to EMCOR’s Annual Report on Form 10-K for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of Incorporation of EMCOR</w:t>
            </w: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year ended December 31, 1995 (“1995 Form 10-K”)</w:t>
              </w:r>
            </w:hyperlink>
          </w:p>
        </w:tc>
        <w:tc>
          <w:tcPr>
            <w:tcW w:w="1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dated February 12, 1998 to the Restated Certificate of</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3(a-3) to EMCOR’s Annual Report on Form 10-K for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Incorporation of EMCOR</w:t>
            </w: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year ended December 31, 1997 (“1997 Form 10-K”)</w:t>
              </w:r>
            </w:hyperlink>
          </w:p>
        </w:tc>
        <w:tc>
          <w:tcPr>
            <w:tcW w:w="1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dated January 27, 2006 to the Restated Certificate of</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Exhibit 3(a-4) to EMCOR’s Annual Report on Form 10-K for the</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Incorporation of EMCOR</w:t>
            </w: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year ended December 31, 2005 (“2005 Form 10-K”)</w:t>
              </w:r>
            </w:hyperlink>
          </w:p>
        </w:tc>
        <w:tc>
          <w:tcPr>
            <w:tcW w:w="11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 dated September 18, 2007 to the Restated Certificate</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Exhibit A to EMCOR’s Proxy Statement dated August 17, 2007 for</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of Incorporation of EMCOR</w:t>
            </w: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Special Meeting of Stockholders held September 18, 2007</w:t>
              </w:r>
            </w:hyperlink>
          </w:p>
        </w:tc>
        <w:tc>
          <w:tcPr>
            <w:tcW w:w="7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3(a-6)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 of Amendment of Restated Certificate of Incorporation</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Exhibit 3.1 to EMCOR’s Report on Form 8-K (Date of Report June</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of EMCOR</w:t>
            </w: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58">
              <w:r>
                <w:rPr>
                  <w:rFonts w:ascii="Times New Roman" w:cs="Times New Roman" w:eastAsia="Times New Roman" w:hAnsi="Times New Roman"/>
                  <w:sz w:val="18"/>
                  <w:szCs w:val="18"/>
                  <w:color w:val="0000FF"/>
                  <w:w w:val="96"/>
                </w:rPr>
                <w:t>8, 2023)</w:t>
              </w:r>
            </w:hyperlink>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3(b)</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Amended and Restated By-Laws of EMCOR</w:t>
            </w:r>
          </w:p>
        </w:tc>
        <w:tc>
          <w:tcPr>
            <w:tcW w:w="20" w:type="dxa"/>
            <w:vAlign w:val="bottom"/>
          </w:tcPr>
          <w:p>
            <w:pPr>
              <w:spacing w:after="0"/>
              <w:rPr>
                <w:sz w:val="19"/>
                <w:szCs w:val="19"/>
                <w:color w:val="auto"/>
              </w:rPr>
            </w:pPr>
          </w:p>
        </w:tc>
        <w:tc>
          <w:tcPr>
            <w:tcW w:w="4940" w:type="dxa"/>
            <w:vAlign w:val="bottom"/>
            <w:gridSpan w:val="12"/>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Exhibit 3.1 to EMCOR’s Report on Form 8-K (Date of Report</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October 25, 2022)</w:t>
              </w:r>
            </w:hyperlink>
          </w:p>
        </w:tc>
        <w:tc>
          <w:tcPr>
            <w:tcW w:w="358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20" w:type="dxa"/>
            <w:vAlign w:val="bottom"/>
          </w:tcPr>
          <w:p>
            <w:pPr>
              <w:spacing w:after="0"/>
              <w:rPr>
                <w:sz w:val="19"/>
                <w:szCs w:val="19"/>
                <w:color w:val="auto"/>
              </w:rPr>
            </w:pPr>
          </w:p>
        </w:tc>
        <w:tc>
          <w:tcPr>
            <w:tcW w:w="49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2002 by Anthony J. Guzzi, the Chairman, President, and Chief</w:t>
            </w:r>
          </w:p>
        </w:tc>
        <w:tc>
          <w:tcPr>
            <w:tcW w:w="2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of</w:t>
            </w:r>
          </w:p>
        </w:tc>
        <w:tc>
          <w:tcPr>
            <w:tcW w:w="20" w:type="dxa"/>
            <w:vAlign w:val="bottom"/>
          </w:tcPr>
          <w:p>
            <w:pPr>
              <w:spacing w:after="0"/>
              <w:rPr>
                <w:sz w:val="17"/>
                <w:szCs w:val="17"/>
                <w:color w:val="auto"/>
              </w:rPr>
            </w:pPr>
          </w:p>
        </w:tc>
        <w:tc>
          <w:tcPr>
            <w:tcW w:w="4940" w:type="dxa"/>
            <w:vAlign w:val="bottom"/>
            <w:gridSpan w:val="12"/>
          </w:tcPr>
          <w:p>
            <w:pPr>
              <w:spacing w:after="0" w:line="198"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2002 by Jason R. Nalbandian, the Senior Vice President, Chief</w:t>
            </w:r>
          </w:p>
        </w:tc>
        <w:tc>
          <w:tcPr>
            <w:tcW w:w="2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Officer and Chief Accounting Officer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20" w:type="dxa"/>
            <w:vAlign w:val="bottom"/>
          </w:tcPr>
          <w:p>
            <w:pPr>
              <w:spacing w:after="0"/>
              <w:rPr>
                <w:sz w:val="17"/>
                <w:szCs w:val="17"/>
                <w:color w:val="auto"/>
              </w:rPr>
            </w:pPr>
          </w:p>
        </w:tc>
        <w:tc>
          <w:tcPr>
            <w:tcW w:w="4940" w:type="dxa"/>
            <w:vAlign w:val="bottom"/>
            <w:gridSpan w:val="12"/>
          </w:tcPr>
          <w:p>
            <w:pPr>
              <w:spacing w:after="0" w:line="198"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2002 by the Chairman, President, and Chief Executive Officer</w:t>
            </w:r>
          </w:p>
        </w:tc>
        <w:tc>
          <w:tcPr>
            <w:tcW w:w="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Pursuant to Section 906 of the Sarbanes-Oxley Act of</w:t>
            </w:r>
          </w:p>
        </w:tc>
        <w:tc>
          <w:tcPr>
            <w:tcW w:w="20" w:type="dxa"/>
            <w:vAlign w:val="bottom"/>
          </w:tcPr>
          <w:p>
            <w:pPr>
              <w:spacing w:after="0"/>
              <w:rPr>
                <w:sz w:val="16"/>
                <w:szCs w:val="16"/>
                <w:color w:val="auto"/>
              </w:rPr>
            </w:pPr>
          </w:p>
        </w:tc>
        <w:tc>
          <w:tcPr>
            <w:tcW w:w="49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rPr>
              <w:t>Furnished</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2002 by the Senior Vice President, Chief Financial Officer and</w:t>
            </w:r>
          </w:p>
        </w:tc>
        <w:tc>
          <w:tcPr>
            <w:tcW w:w="2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95.1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Information concerning mine safety violations or other regulatory</w:t>
            </w:r>
          </w:p>
        </w:tc>
        <w:tc>
          <w:tcPr>
            <w:tcW w:w="20" w:type="dxa"/>
            <w:vAlign w:val="bottom"/>
          </w:tcPr>
          <w:p>
            <w:pPr>
              <w:spacing w:after="0"/>
              <w:rPr>
                <w:sz w:val="17"/>
                <w:szCs w:val="17"/>
                <w:color w:val="auto"/>
              </w:rPr>
            </w:pPr>
          </w:p>
        </w:tc>
        <w:tc>
          <w:tcPr>
            <w:tcW w:w="4940" w:type="dxa"/>
            <w:vAlign w:val="bottom"/>
            <w:gridSpan w:val="12"/>
          </w:tcPr>
          <w:p>
            <w:pPr>
              <w:spacing w:after="0" w:line="198" w:lineRule="exact"/>
              <w:rPr>
                <w:sz w:val="20"/>
                <w:szCs w:val="20"/>
                <w:color w:val="auto"/>
              </w:rPr>
            </w:pPr>
            <w:r>
              <w:rPr>
                <w:rFonts w:ascii="Times New Roman" w:cs="Times New Roman" w:eastAsia="Times New Roman" w:hAnsi="Times New Roman"/>
                <w:sz w:val="18"/>
                <w:szCs w:val="18"/>
                <w:color w:val="0000FF"/>
              </w:rPr>
              <w:t>Filed herewith</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matters</w:t>
            </w:r>
          </w:p>
        </w:tc>
        <w:tc>
          <w:tcPr>
            <w:tcW w:w="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The following materials from EMCOR Group, Inc.’s Quarterly</w:t>
            </w:r>
          </w:p>
        </w:tc>
        <w:tc>
          <w:tcPr>
            <w:tcW w:w="20" w:type="dxa"/>
            <w:vAlign w:val="bottom"/>
          </w:tcPr>
          <w:p>
            <w:pPr>
              <w:spacing w:after="0"/>
              <w:rPr>
                <w:sz w:val="15"/>
                <w:szCs w:val="15"/>
                <w:color w:val="auto"/>
              </w:rPr>
            </w:pPr>
          </w:p>
        </w:tc>
        <w:tc>
          <w:tcPr>
            <w:tcW w:w="494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176"/>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 10-Q for the quarter ended March 31, 2026,</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formatted  in  iXBRL  (Inline  eXtensible  Business  Reporting</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Language): (i) the Consolidated Balance Sheets, (ii) the Condensed</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Statements  of  Operations,  (iii)  the  Condensed</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Consolidated  Statements  of  Comprehensive  Income,  (iv)  the</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Condensed  Consolidated  Statements  of  Cash  Flows,  (v)  the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Equity and (vi) the Notes</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Consolidated Financial Statements.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in Inline XBRL and</w:t>
            </w:r>
          </w:p>
        </w:tc>
        <w:tc>
          <w:tcPr>
            <w:tcW w:w="20" w:type="dxa"/>
            <w:vAlign w:val="bottom"/>
          </w:tcPr>
          <w:p>
            <w:pPr>
              <w:spacing w:after="0"/>
              <w:rPr>
                <w:sz w:val="16"/>
                <w:szCs w:val="16"/>
                <w:color w:val="auto"/>
              </w:rPr>
            </w:pPr>
          </w:p>
        </w:tc>
        <w:tc>
          <w:tcPr>
            <w:tcW w:w="494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p>
      <w:pPr>
        <w:sectPr>
          <w:pgSz w:w="11900" w:h="16838" w:orient="portrait"/>
          <w:cols w:equalWidth="0" w:num="1">
            <w:col w:w="11240"/>
          </w:cols>
          <w:pgMar w:left="320" w:top="114"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thereunto duly authorized.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EMCOR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jc w:val="center"/>
        <w:ind w:right="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3351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Jason R. Nalbandian</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ind w:left="720"/>
        <w:spacing w:after="0" w:line="203" w:lineRule="auto"/>
        <w:rPr>
          <w:sz w:val="20"/>
          <w:szCs w:val="20"/>
          <w:color w:val="auto"/>
        </w:rPr>
      </w:pPr>
      <w:r>
        <w:rPr>
          <w:rFonts w:ascii="Times New Roman" w:cs="Times New Roman" w:eastAsia="Times New Roman" w:hAnsi="Times New Roman"/>
          <w:sz w:val="18"/>
          <w:szCs w:val="18"/>
          <w:color w:val="auto"/>
        </w:rPr>
        <w:t>and Chief Accounting Officer</w:t>
      </w:r>
    </w:p>
    <w:p>
      <w:pPr>
        <w:jc w:val="center"/>
        <w:ind w:right="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060" w:space="720"/>
            <w:col w:w="446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 w:right="3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Guzzi, certify that:</w:t>
      </w:r>
    </w:p>
    <w:p>
      <w:pPr>
        <w:spacing w:after="0" w:line="104"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9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482"/>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hanging="482"/>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spacing w:after="0"/>
        <w:tabs>
          <w:tab w:leader="none" w:pos="1040" w:val="left"/>
          <w:tab w:leader="none" w:pos="6920"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0943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Anthony J. Guzzi</w:t>
      </w:r>
    </w:p>
    <w:p>
      <w:pPr>
        <w:jc w:val="center"/>
        <w:ind w:left="44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 Nalbandian, certify that:</w:t>
      </w:r>
    </w:p>
    <w:p>
      <w:pPr>
        <w:spacing w:after="0" w:line="104" w:lineRule="exact"/>
        <w:rPr>
          <w:sz w:val="20"/>
          <w:szCs w:val="20"/>
          <w:color w:val="auto"/>
        </w:rPr>
      </w:pPr>
    </w:p>
    <w:p>
      <w:pPr>
        <w:ind w:left="820" w:hanging="488"/>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EMCOR Group, Inc.;</w:t>
      </w:r>
    </w:p>
    <w:p>
      <w:pPr>
        <w:spacing w:after="0" w:line="9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482"/>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hanging="482"/>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482"/>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spacing w:after="0"/>
        <w:tabs>
          <w:tab w:leader="none" w:pos="1040" w:val="left"/>
          <w:tab w:leader="none" w:pos="6720"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8"/>
          <w:szCs w:val="18"/>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17145</wp:posOffset>
            </wp:positionV>
            <wp:extent cx="30943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Jason R. Nalbandian</w:t>
      </w:r>
    </w:p>
    <w:p>
      <w:pPr>
        <w:jc w:val="center"/>
        <w:ind w:left="4460"/>
        <w:spacing w:after="0" w:line="219"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ind w:left="678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EMCOR Group, Inc. (the “Company”) on Form 10-Q for the period ended March 31, 2026 as filed with the Securities and Exchange Commission on the date hereof (the “Report”), I, Anthony J. Guzzi, Chairman, President, and Chief Executive Officer of the Company, certify, pursuant to 18 U.S.C. Section 1350, as adopted pursuant to Section 906 of the Sarbanes-Oxley Act of 2002, that:</w:t>
      </w:r>
    </w:p>
    <w:p>
      <w:pPr>
        <w:spacing w:after="0" w:line="54" w:lineRule="exact"/>
        <w:rPr>
          <w:sz w:val="20"/>
          <w:szCs w:val="20"/>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tabs>
          <w:tab w:leader="none" w:pos="700" w:val="left"/>
          <w:tab w:leader="none" w:pos="7500"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7"/>
          <w:szCs w:val="17"/>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497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EMCOR Group, Inc. (the “Company”) on Form 10-Q for the period ended March 31, 2026 as filed with the Securities and Exchange Commission on the date hereof (the “Report”), I, Jason R. Nalbandian, Senior Vice President, Chief Financial Officer and Chief Accounting Officer of the Company, certify, pursuant to 18 U.S.C. Section 1350, as adopted pursuant to Section 906 of the Sarbanes-Oxley Act of 2002, that:</w:t>
      </w:r>
    </w:p>
    <w:p>
      <w:pPr>
        <w:spacing w:after="0" w:line="58" w:lineRule="exact"/>
        <w:rPr>
          <w:sz w:val="20"/>
          <w:szCs w:val="20"/>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
        <w:spacing w:after="0"/>
        <w:tabs>
          <w:tab w:leader="none" w:pos="700" w:val="left"/>
          <w:tab w:leader="none" w:pos="7300" w:val="left"/>
        </w:tabs>
        <w:rPr>
          <w:sz w:val="20"/>
          <w:szCs w:val="20"/>
          <w:color w:val="auto"/>
        </w:rPr>
      </w:pPr>
      <w:r>
        <w:rPr>
          <w:rFonts w:ascii="Times New Roman" w:cs="Times New Roman" w:eastAsia="Times New Roman" w:hAnsi="Times New Roman"/>
          <w:sz w:val="18"/>
          <w:szCs w:val="18"/>
          <w:color w:val="auto"/>
        </w:rPr>
        <w:t>Date:</w:t>
        <w:tab/>
        <w:t>April 29, 2026</w:t>
      </w:r>
      <w:r>
        <w:rPr>
          <w:sz w:val="20"/>
          <w:szCs w:val="20"/>
          <w:color w:val="auto"/>
        </w:rPr>
        <w:tab/>
      </w:r>
      <w:r>
        <w:rPr>
          <w:rFonts w:ascii="Times New Roman" w:cs="Times New Roman" w:eastAsia="Times New Roman" w:hAnsi="Times New Roman"/>
          <w:sz w:val="18"/>
          <w:szCs w:val="18"/>
          <w:color w:val="auto"/>
        </w:rPr>
        <w:t>/s/ JASON R. NALBANDIAN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497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R. Nalbandian</w:t>
      </w:r>
    </w:p>
    <w:p>
      <w:pPr>
        <w:ind w:left="6780"/>
        <w:spacing w:after="0" w:line="205" w:lineRule="auto"/>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and Chief Accounting Officer</w:t>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95.1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covered by this report:</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subsidiary, MOR-PPM Inc. (“MOR-PPM”), was issued one significant and substantial citation by the U.S. Mine Safety and Health Administration (“MSHA”) related to work MOR-PPM performed at the Young Mill operated by Nystar Tennessee Mines Strawberry Plains LLC in Jefferson County, Tennessee. MSHA also assessed a civil penalty of $592 for that citation. The Company has no other disclosures to report under section 1503 for the period covered by this report.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lowerRoman"/>
      <w:start w:val="3"/>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53" Type="http://schemas.openxmlformats.org/officeDocument/2006/relationships/hyperlink" Target="https://www.sec.gov/Archives/edgar/data/105634/0000899681-95-000061.txt" TargetMode="External"/><Relationship Id="rId54" Type="http://schemas.openxmlformats.org/officeDocument/2006/relationships/hyperlink" Target="https://www.sec.gov/Archives/edgar/data/105634/0000950130-96-000829.txt" TargetMode="External"/><Relationship Id="rId55" Type="http://schemas.openxmlformats.org/officeDocument/2006/relationships/hyperlink" Target="https://www.sec.gov/Archives/edgar/data/105634/0000889812-98-000514.txt" TargetMode="External"/><Relationship Id="rId56" Type="http://schemas.openxmlformats.org/officeDocument/2006/relationships/hyperlink" Target="https://www.sec.gov/Archives/edgar/data/105634/000093041306001268/c41117_ex3-a4.txt" TargetMode="External"/><Relationship Id="rId57" Type="http://schemas.openxmlformats.org/officeDocument/2006/relationships/hyperlink" Target="https://www.sec.gov/Archives/edgar/data/105634/000093041307006783/c49457_def14a.htm" TargetMode="External"/><Relationship Id="rId58" Type="http://schemas.openxmlformats.org/officeDocument/2006/relationships/hyperlink" Target="https://www.sec.gov/Archives/edgar/data/105634/000010563423000023/eme-ex31x20230608x8k.htm" TargetMode="External"/><Relationship Id="rId59" Type="http://schemas.openxmlformats.org/officeDocument/2006/relationships/hyperlink" Target="https://www.sec.gov/Archives/edgar/data/105634/000010563422000036/eme-ex31_20221025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2026-04-29T06:35:32Z</dcterms:created>
  <dcterms:modified xsi:type="dcterms:W3CDTF">2026-04-29T06:35:32Z</dcterms:modified>
</cp:coreProperties>
</file>