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33020</wp:posOffset>
            </wp:positionV>
            <wp:extent cx="1071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-172085</wp:posOffset>
            </wp:positionV>
            <wp:extent cx="10718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26, 2026</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EMCOR Group,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2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1-8267</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11-2125338</w:t>
            </w:r>
          </w:p>
        </w:tc>
        <w:tc>
          <w:tcPr>
            <w:tcW w:w="104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4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(Commission File Number)</w:t>
            </w:r>
          </w:p>
        </w:tc>
        <w:tc>
          <w:tcPr>
            <w:tcW w:w="240" w:type="dxa"/>
            <w:vAlign w:val="bottom"/>
          </w:tcPr>
          <w:p>
            <w:pPr>
              <w:spacing w:after="0"/>
              <w:rPr>
                <w:sz w:val="19"/>
                <w:szCs w:val="19"/>
                <w:color w:val="auto"/>
              </w:rPr>
            </w:pPr>
          </w:p>
        </w:tc>
        <w:tc>
          <w:tcPr>
            <w:tcW w:w="34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2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2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301 Merritt Seven</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Norwalk, Connecticut</w:t>
            </w:r>
          </w:p>
        </w:tc>
        <w:tc>
          <w:tcPr>
            <w:tcW w:w="19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06851-1092</w:t>
            </w:r>
          </w:p>
        </w:tc>
        <w:tc>
          <w:tcPr>
            <w:tcW w:w="104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180" w:type="dxa"/>
            <w:vAlign w:val="bottom"/>
            <w:gridSpan w:val="4"/>
          </w:tcPr>
          <w:p>
            <w:pPr>
              <w:jc w:val="center"/>
              <w:ind w:right="9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34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50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 849-7800</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42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71"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EME</w:t>
            </w:r>
          </w:p>
        </w:tc>
        <w:tc>
          <w:tcPr>
            <w:tcW w:w="100" w:type="dxa"/>
            <w:vAlign w:val="bottom"/>
          </w:tcPr>
          <w:p>
            <w:pPr>
              <w:spacing w:after="0"/>
              <w:rPr>
                <w:sz w:val="18"/>
                <w:szCs w:val="18"/>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8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tbl>
      <w:tblPr>
        <w:tblLayout w:type="fixed"/>
        <w:tblInd w:w="80" w:type="dxa"/>
        <w:tblCellMar>
          <w:top w:w="0" w:type="dxa"/>
          <w:left w:w="0" w:type="dxa"/>
          <w:bottom w:w="0" w:type="dxa"/>
          <w:right w:w="0" w:type="dxa"/>
        </w:tblCellMar>
      </w:tblPr>
      <w:tr>
        <w:trPr>
          <w:trHeight w:val="303"/>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7"/>
        </w:trPr>
        <w:tc>
          <w:tcPr>
            <w:tcW w:w="23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2970530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26, 2026, EMCOR Group, Inc. issued a press release disclosing results of operations for its fiscal 2025 fourth quarter and year ended December 31, 2025. A copy of such press release is furnished as Exhibit 99.1 to this Current Report on Form 8-K.</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shall not be deemed to be “filed” for the purposes of Section 18 of the Securities Exchange Act of 1934 (the “Exchange Act”) or otherwise subject to the liabilities of that Section, nor shall it be incorporated by reference into a filing under the Securities Act of 1933, or the Exchange Act, except as shall be expressly set forth by specific reference in such a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9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9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9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Press Release issued by EMCOR Group, Inc. on February 26, 2026 disclosing results of operations for its fiscal 2025 fourth</w:t>
            </w:r>
          </w:p>
        </w:tc>
      </w:tr>
      <w:tr>
        <w:trPr>
          <w:trHeight w:val="156"/>
        </w:trPr>
        <w:tc>
          <w:tcPr>
            <w:tcW w:w="1960" w:type="dxa"/>
            <w:vAlign w:val="bottom"/>
          </w:tcPr>
          <w:p>
            <w:pPr>
              <w:spacing w:after="0"/>
              <w:rPr>
                <w:sz w:val="13"/>
                <w:szCs w:val="13"/>
                <w:color w:val="auto"/>
              </w:rPr>
            </w:pPr>
          </w:p>
        </w:tc>
        <w:tc>
          <w:tcPr>
            <w:tcW w:w="3160" w:type="dxa"/>
            <w:vAlign w:val="bottom"/>
            <w:tcBorders>
              <w:top w:val="single" w:sz="8" w:color="0000FF"/>
              <w:bottom w:val="single" w:sz="8" w:color="0000FF"/>
            </w:tcBorders>
          </w:tcPr>
          <w:p>
            <w:pPr>
              <w:ind w:left="20"/>
              <w:spacing w:after="0" w:line="156" w:lineRule="exact"/>
              <w:rPr>
                <w:sz w:val="20"/>
                <w:szCs w:val="20"/>
                <w:color w:val="auto"/>
              </w:rPr>
            </w:pPr>
            <w:r>
              <w:rPr>
                <w:rFonts w:ascii="Times New Roman" w:cs="Times New Roman" w:eastAsia="Times New Roman" w:hAnsi="Times New Roman"/>
                <w:sz w:val="18"/>
                <w:szCs w:val="18"/>
                <w:color w:val="0000FF"/>
                <w:w w:val="99"/>
              </w:rPr>
              <w:t>quarter and year ended December 31, 2025.</w:t>
            </w:r>
          </w:p>
        </w:tc>
        <w:tc>
          <w:tcPr>
            <w:tcW w:w="57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r>
      <w:tr>
        <w:trPr>
          <w:trHeight w:val="26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EMCOR Group, Inc.</w:t>
      </w:r>
    </w:p>
    <w:p>
      <w:pPr>
        <w:sectPr>
          <w:pgSz w:w="11900" w:h="16838" w:orient="portrait"/>
          <w:cols w:equalWidth="0" w:num="1">
            <w:col w:w="11240"/>
          </w:cols>
          <w:pgMar w:left="320" w:top="1089"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26, 2026</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17145</wp:posOffset>
            </wp:positionV>
            <wp:extent cx="181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3">
            <w:col w:w="4640" w:space="720"/>
            <w:col w:w="400" w:space="720"/>
            <w:col w:w="4760"/>
          </w:cols>
          <w:pgMar w:left="320" w:top="1089" w:right="339" w:bottom="1440" w:gutter="0" w:footer="0" w:header="0"/>
          <w:type w:val="continuous"/>
        </w:sectPr>
      </w:pPr>
    </w:p>
    <w:p>
      <w:pPr>
        <w:jc w:val="center"/>
        <w:ind w:left="3560"/>
        <w:spacing w:after="0"/>
        <w:rPr>
          <w:sz w:val="20"/>
          <w:szCs w:val="20"/>
          <w:color w:val="auto"/>
        </w:rPr>
      </w:pPr>
      <w:r>
        <w:rPr>
          <w:rFonts w:ascii="Times New Roman" w:cs="Times New Roman" w:eastAsia="Times New Roman" w:hAnsi="Times New Roman"/>
          <w:sz w:val="18"/>
          <w:szCs w:val="18"/>
          <w:color w:val="auto"/>
        </w:rPr>
        <w:t>Anthony J. Guzzi</w:t>
      </w:r>
    </w:p>
    <w:p>
      <w:pPr>
        <w:spacing w:after="0" w:line="27" w:lineRule="exact"/>
        <w:rPr>
          <w:sz w:val="20"/>
          <w:szCs w:val="20"/>
          <w:color w:val="auto"/>
        </w:rPr>
      </w:pPr>
    </w:p>
    <w:p>
      <w:pPr>
        <w:jc w:val="center"/>
        <w:ind w:left="3560"/>
        <w:spacing w:after="0"/>
        <w:rPr>
          <w:sz w:val="20"/>
          <w:szCs w:val="20"/>
          <w:color w:val="auto"/>
        </w:rPr>
      </w:pPr>
      <w:r>
        <w:rPr>
          <w:rFonts w:ascii="Times New Roman" w:cs="Times New Roman" w:eastAsia="Times New Roman" w:hAnsi="Times New Roman"/>
          <w:sz w:val="17"/>
          <w:szCs w:val="17"/>
          <w:color w:val="auto"/>
        </w:rPr>
        <w:t>Chairman, President, and</w:t>
      </w:r>
    </w:p>
    <w:p>
      <w:pPr>
        <w:spacing w:after="0" w:line="34" w:lineRule="exact"/>
        <w:rPr>
          <w:sz w:val="20"/>
          <w:szCs w:val="20"/>
          <w:color w:val="auto"/>
        </w:rPr>
      </w:pPr>
    </w:p>
    <w:p>
      <w:pPr>
        <w:jc w:val="center"/>
        <w:ind w:left="35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89" w:right="339" w:bottom="1440" w:gutter="0" w:footer="0" w:header="0"/>
          <w:type w:val="continuous"/>
        </w:sectPr>
      </w:pPr>
    </w:p>
    <w:bookmarkStart w:id="2" w:name="page3"/>
    <w:bookmarkEnd w:id="2"/>
    <w:p>
      <w:pPr>
        <w:ind w:left="10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1543050"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51510"/>
                    </a:xfrm>
                    <a:prstGeom prst="rect">
                      <a:avLst/>
                    </a:prstGeom>
                    <a:noFill/>
                  </pic:spPr>
                </pic:pic>
              </a:graphicData>
            </a:graphic>
          </wp:anchor>
        </w:drawing>
        <w:t>EXHIBIT 99.1</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720" w:type="dxa"/>
            <w:vAlign w:val="bottom"/>
          </w:tcPr>
          <w:p>
            <w:pPr>
              <w:jc w:val="right"/>
              <w:ind w:right="164"/>
              <w:spacing w:after="0"/>
              <w:rPr>
                <w:sz w:val="20"/>
                <w:szCs w:val="20"/>
                <w:color w:val="auto"/>
              </w:rPr>
            </w:pPr>
            <w:r>
              <w:rPr>
                <w:rFonts w:ascii="Arial" w:cs="Arial" w:eastAsia="Arial" w:hAnsi="Arial"/>
                <w:sz w:val="18"/>
                <w:szCs w:val="18"/>
                <w:color w:val="auto"/>
              </w:rPr>
              <w:t>FOR:</w:t>
            </w:r>
          </w:p>
        </w:tc>
        <w:tc>
          <w:tcPr>
            <w:tcW w:w="2640" w:type="dxa"/>
            <w:vAlign w:val="bottom"/>
          </w:tcPr>
          <w:p>
            <w:pPr>
              <w:ind w:left="280"/>
              <w:spacing w:after="0"/>
              <w:rPr>
                <w:sz w:val="20"/>
                <w:szCs w:val="20"/>
                <w:color w:val="auto"/>
              </w:rPr>
            </w:pPr>
            <w:r>
              <w:rPr>
                <w:rFonts w:ascii="Arial" w:cs="Arial" w:eastAsia="Arial" w:hAnsi="Arial"/>
                <w:sz w:val="18"/>
                <w:szCs w:val="18"/>
                <w:color w:val="auto"/>
              </w:rPr>
              <w:t>EMCOR GROUP, INC.</w:t>
            </w:r>
          </w:p>
        </w:tc>
      </w:tr>
      <w:tr>
        <w:trPr>
          <w:trHeight w:val="280"/>
        </w:trPr>
        <w:tc>
          <w:tcPr>
            <w:tcW w:w="6720" w:type="dxa"/>
            <w:vAlign w:val="bottom"/>
          </w:tcPr>
          <w:p>
            <w:pPr>
              <w:jc w:val="right"/>
              <w:ind w:right="5184"/>
              <w:spacing w:after="0"/>
              <w:rPr>
                <w:sz w:val="20"/>
                <w:szCs w:val="20"/>
                <w:color w:val="auto"/>
              </w:rPr>
            </w:pPr>
            <w:r>
              <w:rPr>
                <w:rFonts w:ascii="Arial" w:cs="Arial" w:eastAsia="Arial" w:hAnsi="Arial"/>
                <w:sz w:val="22"/>
                <w:szCs w:val="22"/>
                <w:b w:val="1"/>
                <w:bCs w:val="1"/>
                <w:color w:val="auto"/>
                <w:w w:val="96"/>
              </w:rPr>
              <w:t>News Release</w:t>
            </w:r>
          </w:p>
        </w:tc>
        <w:tc>
          <w:tcPr>
            <w:tcW w:w="2640" w:type="dxa"/>
            <w:vAlign w:val="bottom"/>
          </w:tcPr>
          <w:p>
            <w:pPr>
              <w:spacing w:after="0"/>
              <w:rPr>
                <w:sz w:val="24"/>
                <w:szCs w:val="24"/>
                <w:color w:val="auto"/>
              </w:rPr>
            </w:pPr>
          </w:p>
        </w:tc>
      </w:tr>
      <w:tr>
        <w:trPr>
          <w:trHeight w:val="181"/>
        </w:trPr>
        <w:tc>
          <w:tcPr>
            <w:tcW w:w="6720" w:type="dxa"/>
            <w:vAlign w:val="bottom"/>
          </w:tcPr>
          <w:p>
            <w:pPr>
              <w:jc w:val="right"/>
              <w:ind w:right="164"/>
              <w:spacing w:after="0" w:line="181" w:lineRule="exact"/>
              <w:rPr>
                <w:sz w:val="20"/>
                <w:szCs w:val="20"/>
                <w:color w:val="auto"/>
              </w:rPr>
            </w:pPr>
            <w:r>
              <w:rPr>
                <w:rFonts w:ascii="Arial" w:cs="Arial" w:eastAsia="Arial" w:hAnsi="Arial"/>
                <w:sz w:val="18"/>
                <w:szCs w:val="18"/>
                <w:color w:val="auto"/>
              </w:rPr>
              <w:t>CONTACT:</w:t>
            </w:r>
          </w:p>
        </w:tc>
        <w:tc>
          <w:tcPr>
            <w:tcW w:w="2640" w:type="dxa"/>
            <w:vAlign w:val="bottom"/>
          </w:tcPr>
          <w:p>
            <w:pPr>
              <w:ind w:left="280"/>
              <w:spacing w:after="0" w:line="181" w:lineRule="exact"/>
              <w:rPr>
                <w:sz w:val="20"/>
                <w:szCs w:val="20"/>
                <w:color w:val="auto"/>
              </w:rPr>
            </w:pPr>
            <w:r>
              <w:rPr>
                <w:rFonts w:ascii="Arial" w:cs="Arial" w:eastAsia="Arial" w:hAnsi="Arial"/>
                <w:sz w:val="18"/>
                <w:szCs w:val="18"/>
                <w:color w:val="auto"/>
              </w:rPr>
              <w:t>Lucas Sullivan</w:t>
            </w:r>
          </w:p>
        </w:tc>
      </w:tr>
      <w:tr>
        <w:trPr>
          <w:trHeight w:val="184"/>
        </w:trPr>
        <w:tc>
          <w:tcPr>
            <w:tcW w:w="6720" w:type="dxa"/>
            <w:vAlign w:val="bottom"/>
          </w:tcPr>
          <w:p>
            <w:pPr>
              <w:spacing w:after="0"/>
              <w:rPr>
                <w:sz w:val="15"/>
                <w:szCs w:val="15"/>
                <w:color w:val="auto"/>
              </w:rPr>
            </w:pPr>
          </w:p>
        </w:tc>
        <w:tc>
          <w:tcPr>
            <w:tcW w:w="2640" w:type="dxa"/>
            <w:vAlign w:val="bottom"/>
          </w:tcPr>
          <w:p>
            <w:pPr>
              <w:ind w:left="280"/>
              <w:spacing w:after="0" w:line="183" w:lineRule="exact"/>
              <w:rPr>
                <w:sz w:val="20"/>
                <w:szCs w:val="20"/>
                <w:color w:val="auto"/>
              </w:rPr>
            </w:pPr>
            <w:r>
              <w:rPr>
                <w:rFonts w:ascii="Arial" w:cs="Arial" w:eastAsia="Arial" w:hAnsi="Arial"/>
                <w:sz w:val="18"/>
                <w:szCs w:val="18"/>
                <w:color w:val="auto"/>
              </w:rPr>
              <w:t>Director</w:t>
            </w:r>
          </w:p>
        </w:tc>
      </w:tr>
      <w:tr>
        <w:trPr>
          <w:trHeight w:val="181"/>
        </w:trPr>
        <w:tc>
          <w:tcPr>
            <w:tcW w:w="6720" w:type="dxa"/>
            <w:vAlign w:val="bottom"/>
          </w:tcPr>
          <w:p>
            <w:pPr>
              <w:spacing w:after="0"/>
              <w:rPr>
                <w:sz w:val="15"/>
                <w:szCs w:val="15"/>
                <w:color w:val="auto"/>
              </w:rPr>
            </w:pPr>
          </w:p>
        </w:tc>
        <w:tc>
          <w:tcPr>
            <w:tcW w:w="2640" w:type="dxa"/>
            <w:vAlign w:val="bottom"/>
          </w:tcPr>
          <w:p>
            <w:pPr>
              <w:ind w:left="280"/>
              <w:spacing w:after="0" w:line="181" w:lineRule="exact"/>
              <w:rPr>
                <w:sz w:val="20"/>
                <w:szCs w:val="20"/>
                <w:color w:val="auto"/>
              </w:rPr>
            </w:pPr>
            <w:r>
              <w:rPr>
                <w:rFonts w:ascii="Arial" w:cs="Arial" w:eastAsia="Arial" w:hAnsi="Arial"/>
                <w:sz w:val="18"/>
                <w:szCs w:val="18"/>
                <w:color w:val="auto"/>
                <w:w w:val="99"/>
              </w:rPr>
              <w:t>Financial Planning &amp; Analysis</w:t>
            </w:r>
          </w:p>
        </w:tc>
      </w:tr>
      <w:tr>
        <w:trPr>
          <w:trHeight w:val="239"/>
        </w:trPr>
        <w:tc>
          <w:tcPr>
            <w:tcW w:w="672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(203) 849-7938</w:t>
            </w:r>
          </w:p>
        </w:tc>
      </w:tr>
      <w:tr>
        <w:trPr>
          <w:trHeight w:val="396"/>
        </w:trPr>
        <w:tc>
          <w:tcPr>
            <w:tcW w:w="6720" w:type="dxa"/>
            <w:vAlign w:val="bottom"/>
          </w:tcPr>
          <w:p>
            <w:pPr>
              <w:spacing w:after="0"/>
              <w:rPr>
                <w:sz w:val="24"/>
                <w:szCs w:val="24"/>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FTI Consulting, Inc.</w:t>
            </w:r>
          </w:p>
        </w:tc>
      </w:tr>
      <w:tr>
        <w:trPr>
          <w:trHeight w:val="184"/>
        </w:trPr>
        <w:tc>
          <w:tcPr>
            <w:tcW w:w="6720" w:type="dxa"/>
            <w:vAlign w:val="bottom"/>
          </w:tcPr>
          <w:p>
            <w:pPr>
              <w:spacing w:after="0"/>
              <w:rPr>
                <w:sz w:val="15"/>
                <w:szCs w:val="15"/>
                <w:color w:val="auto"/>
              </w:rPr>
            </w:pPr>
          </w:p>
        </w:tc>
        <w:tc>
          <w:tcPr>
            <w:tcW w:w="2640" w:type="dxa"/>
            <w:vAlign w:val="bottom"/>
          </w:tcPr>
          <w:p>
            <w:pPr>
              <w:ind w:left="280"/>
              <w:spacing w:after="0" w:line="183" w:lineRule="exact"/>
              <w:rPr>
                <w:sz w:val="20"/>
                <w:szCs w:val="20"/>
                <w:color w:val="auto"/>
              </w:rPr>
            </w:pPr>
            <w:r>
              <w:rPr>
                <w:rFonts w:ascii="Arial" w:cs="Arial" w:eastAsia="Arial" w:hAnsi="Arial"/>
                <w:sz w:val="18"/>
                <w:szCs w:val="18"/>
                <w:color w:val="auto"/>
              </w:rPr>
              <w:t>Investors: Blake Mueller</w:t>
            </w:r>
          </w:p>
        </w:tc>
      </w:tr>
      <w:tr>
        <w:trPr>
          <w:trHeight w:val="239"/>
        </w:trPr>
        <w:tc>
          <w:tcPr>
            <w:tcW w:w="672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(718) 578-3706</w:t>
            </w: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EMCOR GROUP, INC. REPORTS FOURTH QUARTER AND FULL YEAR 2025 RESULTS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Record Quarterly and Full-Year Revenues of $4.51 billion and $16.99 billion, respectively</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Record Quarterly and Full-Year Diluted EPS of $9.68 and $28.19, respectively</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Non-GAAP Quarterly and Full-Year Diluted EPS of $7.19 and $25.87, respectively</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Record Remaining Performance Obligations of $13.25 billion, 31.2% Increase Year-over-Year</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2026 Revenues and Diluted EPS Guidance of $17.75 billion – $18.50 billion and $27.25 – $29.25</w:t>
      </w:r>
    </w:p>
    <w:p>
      <w:pPr>
        <w:spacing w:after="0" w:line="34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NORWALK, CONNECTICUT, February 26, 2026 - EMCOR Group, Inc. (NYSE: EME) today reported results for the fourth quarter and year ended December 31, 2025.</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2025 Results of Operations</w:t>
      </w:r>
    </w:p>
    <w:p>
      <w:pPr>
        <w:spacing w:after="0" w:line="251"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color w:val="auto"/>
        </w:rPr>
        <w:t xml:space="preserve">For the fourth quarter of 2025, </w:t>
      </w:r>
      <w:r>
        <w:rPr>
          <w:rFonts w:ascii="Arial" w:cs="Arial" w:eastAsia="Arial" w:hAnsi="Arial"/>
          <w:sz w:val="21"/>
          <w:szCs w:val="21"/>
          <w:b w:val="1"/>
          <w:bCs w:val="1"/>
          <w:color w:val="auto"/>
        </w:rPr>
        <w:t>revenues</w:t>
      </w:r>
      <w:r>
        <w:rPr>
          <w:rFonts w:ascii="Arial" w:cs="Arial" w:eastAsia="Arial" w:hAnsi="Arial"/>
          <w:sz w:val="20"/>
          <w:szCs w:val="20"/>
          <w:color w:val="auto"/>
        </w:rPr>
        <w:t xml:space="preserve"> totaled $4.51 billion, an increase of 19.7%, compared to $3.77 billion for the fourth quarter of 2024. On an organic basis, fourth quarter revenues increased 9.5%.</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b w:val="1"/>
          <w:bCs w:val="1"/>
          <w:color w:val="auto"/>
        </w:rPr>
        <w:t xml:space="preserve">Net income </w:t>
      </w:r>
      <w:r>
        <w:rPr>
          <w:rFonts w:ascii="Arial" w:cs="Arial" w:eastAsia="Arial" w:hAnsi="Arial"/>
          <w:sz w:val="19"/>
          <w:szCs w:val="19"/>
          <w:color w:val="auto"/>
        </w:rPr>
        <w:t>for the fourth quarter of 2025 was $ 434.6 million, or $9.68 per diluted share, compared to net income of $292.2</w:t>
      </w:r>
      <w:r>
        <w:rPr>
          <w:rFonts w:ascii="Arial" w:cs="Arial" w:eastAsia="Arial" w:hAnsi="Arial"/>
          <w:sz w:val="22"/>
          <w:szCs w:val="22"/>
          <w:b w:val="1"/>
          <w:bCs w:val="1"/>
          <w:color w:val="auto"/>
        </w:rPr>
        <w:t xml:space="preserve"> </w:t>
      </w:r>
      <w:r>
        <w:rPr>
          <w:rFonts w:ascii="Arial" w:cs="Arial" w:eastAsia="Arial" w:hAnsi="Arial"/>
          <w:sz w:val="19"/>
          <w:szCs w:val="19"/>
          <w:color w:val="auto"/>
        </w:rPr>
        <w:t>million, or $6.32 per diluted share, for the fourth quarter of 2024. Net income for the fourth quarter of 2025 included $ 10.7 million, or $7.9 million after taxes, of transaction expenses related to the sale of EMCOR’s United Kingdom operations, as well as a gain on such sale of $144.9 million, or $119.7 million after taxes. Excluding these items, non-GAAP net income for the fourth quarter of 2025 was $322.8 million, or $7.19 per diluted share.</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 xml:space="preserve">Operating income </w:t>
      </w:r>
      <w:r>
        <w:rPr>
          <w:rFonts w:ascii="Arial" w:cs="Arial" w:eastAsia="Arial" w:hAnsi="Arial"/>
          <w:sz w:val="20"/>
          <w:szCs w:val="20"/>
          <w:color w:val="auto"/>
        </w:rPr>
        <w:t>for the fourth quarter of 2025 was $573.8 million, or 12.7% of revenues, compared to operating income of</w:t>
      </w:r>
      <w:r>
        <w:rPr>
          <w:rFonts w:ascii="Arial" w:cs="Arial" w:eastAsia="Arial" w:hAnsi="Arial"/>
          <w:sz w:val="20"/>
          <w:szCs w:val="20"/>
          <w:b w:val="1"/>
          <w:bCs w:val="1"/>
          <w:color w:val="auto"/>
        </w:rPr>
        <w:t xml:space="preserve"> </w:t>
      </w:r>
      <w:r>
        <w:rPr>
          <w:rFonts w:ascii="Arial" w:cs="Arial" w:eastAsia="Arial" w:hAnsi="Arial"/>
          <w:sz w:val="20"/>
          <w:szCs w:val="20"/>
          <w:color w:val="auto"/>
        </w:rPr>
        <w:t>$388.6 million, or 10.3% of revenues, for the fourth quarter of 2024. Excluding the previously referenced transaction expenses and gain on sale of EMCOR’s United Kingdom operations, non-GAAP operating income for the fourth quarter of 2025 was $439.6 million, or 9.7% of revenues. Operating income included depreciation and amortization expense (inclusive of amortization of identifiable intangible assets) of $50.0 million and $35.3 million for the fourth quarter of 2025 and 2024, respectively.</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Refer to the attached tables for a reconciliation of non-GAAP operating income, non-GAAP operating margin, non-GAAP net income, and non-GAAP diluted earnings per share to the comparable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295" w:right="339" w:bottom="1440" w:gutter="0" w:footer="0" w:header="0"/>
        </w:sectPr>
      </w:pPr>
    </w:p>
    <w:bookmarkStart w:id="3" w:name="page4"/>
    <w:bookmarkEnd w:id="3"/>
    <w:p>
      <w:pPr>
        <w:ind w:left="80"/>
        <w:spacing w:after="0"/>
        <w:tabs>
          <w:tab w:leader="none" w:pos="1056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51510"/>
                    </a:xfrm>
                    <a:prstGeom prst="rect">
                      <a:avLst/>
                    </a:prstGeom>
                    <a:noFill/>
                  </pic:spPr>
                </pic:pic>
              </a:graphicData>
            </a:graphic>
          </wp:anchor>
        </w:drawing>
        <w:t>EMCOR Reports Fourth Quarter and Full Year Results</w:t>
      </w:r>
      <w:r>
        <w:rPr>
          <w:sz w:val="20"/>
          <w:szCs w:val="20"/>
          <w:color w:val="auto"/>
        </w:rPr>
        <w:tab/>
      </w:r>
      <w:r>
        <w:rPr>
          <w:rFonts w:ascii="Arial" w:cs="Arial" w:eastAsia="Arial" w:hAnsi="Arial"/>
          <w:sz w:val="19"/>
          <w:szCs w:val="19"/>
          <w:b w:val="1"/>
          <w:bCs w:val="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Selling, general and administrative expenses </w:t>
      </w:r>
      <w:r>
        <w:rPr>
          <w:rFonts w:ascii="Arial" w:cs="Arial" w:eastAsia="Arial" w:hAnsi="Arial"/>
          <w:sz w:val="20"/>
          <w:szCs w:val="20"/>
          <w:color w:val="auto"/>
        </w:rPr>
        <w:t>for the fourth quarter of 2025 totaled $462.3 million, or 10.2% of revenues,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$368.5 million, or 9.8% of revenues, for the fourth quarter of 2024.</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Company's </w:t>
      </w:r>
      <w:r>
        <w:rPr>
          <w:rFonts w:ascii="Arial" w:cs="Arial" w:eastAsia="Arial" w:hAnsi="Arial"/>
          <w:sz w:val="21"/>
          <w:szCs w:val="21"/>
          <w:b w:val="1"/>
          <w:bCs w:val="1"/>
          <w:color w:val="auto"/>
        </w:rPr>
        <w:t>income tax rate</w:t>
      </w:r>
      <w:r>
        <w:rPr>
          <w:rFonts w:ascii="Arial" w:cs="Arial" w:eastAsia="Arial" w:hAnsi="Arial"/>
          <w:sz w:val="20"/>
          <w:szCs w:val="20"/>
          <w:color w:val="auto"/>
        </w:rPr>
        <w:t xml:space="preserve"> for the fourth quarter of 2025 was 24.8%, compared to 26.7% for the fourth quarter of 2024.</w:t>
      </w: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 xml:space="preserve">Remaining performance obligations </w:t>
      </w:r>
      <w:r>
        <w:rPr>
          <w:rFonts w:ascii="Arial" w:cs="Arial" w:eastAsia="Arial" w:hAnsi="Arial"/>
          <w:sz w:val="20"/>
          <w:szCs w:val="20"/>
          <w:color w:val="auto"/>
        </w:rPr>
        <w:t>(“RPOs”) as of December 31, 2025, were a record $13.25 billion, compared to $10.10</w:t>
      </w:r>
      <w:r>
        <w:rPr>
          <w:rFonts w:ascii="Arial" w:cs="Arial" w:eastAsia="Arial" w:hAnsi="Arial"/>
          <w:sz w:val="20"/>
          <w:szCs w:val="20"/>
          <w:b w:val="1"/>
          <w:bCs w:val="1"/>
          <w:color w:val="auto"/>
        </w:rPr>
        <w:t xml:space="preserve"> </w:t>
      </w:r>
      <w:r>
        <w:rPr>
          <w:rFonts w:ascii="Arial" w:cs="Arial" w:eastAsia="Arial" w:hAnsi="Arial"/>
          <w:sz w:val="20"/>
          <w:szCs w:val="20"/>
          <w:color w:val="auto"/>
        </w:rPr>
        <w:t>billion as of December 31 2024, an increase of $3.15 billion year-over-year. The Company experienced increases in the majority of the sectors in which it operates, with the most significant growth coming from Network and Communications, Institutional, Water and Wastewater, Hospitality and Entertainment, and Manufacturing and Industrial. These increases were partially offset by a reduction in RPOs within the High-Tech Manufacturing sector, as the Company completed certain semiconductor manufacturing construction projects.</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Tony Guzzi, Chairman, President, and Chief Executive Officer of EMCOR, commented, “We had an excellent close to the year with our fourth quarter results, including strong revenue growth and exceptional operating performance. Our success was driven by solid execution as we continued to perform well on some of the most technically sophisticated, fast-paced, and demanding projects in our history. Our Remaining Performance Obligations are again at an all-time high as we continue to win and earn new business across multiple sectors, geographies, and trades. Our pipeline remains strong, reflecting the broad-based demand for our services and supporting our positive outlook for 2026."</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2025 Results of Operations</w:t>
      </w:r>
    </w:p>
    <w:p>
      <w:pPr>
        <w:spacing w:after="0" w:line="243"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for full year 2025 totaled $16.99 billion, an increase of 16.6%, compared to $14.57 billion for full year 2024. On an</w:t>
      </w:r>
      <w:r>
        <w:rPr>
          <w:rFonts w:ascii="Arial" w:cs="Arial" w:eastAsia="Arial" w:hAnsi="Arial"/>
          <w:sz w:val="20"/>
          <w:szCs w:val="20"/>
          <w:b w:val="1"/>
          <w:bCs w:val="1"/>
          <w:color w:val="auto"/>
        </w:rPr>
        <w:t xml:space="preserve"> </w:t>
      </w:r>
      <w:r>
        <w:rPr>
          <w:rFonts w:ascii="Arial" w:cs="Arial" w:eastAsia="Arial" w:hAnsi="Arial"/>
          <w:sz w:val="20"/>
          <w:szCs w:val="20"/>
          <w:color w:val="auto"/>
        </w:rPr>
        <w:t>organic basis, full year revenues increased 7.9%.</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Net income </w:t>
      </w:r>
      <w:r>
        <w:rPr>
          <w:rFonts w:ascii="Arial" w:cs="Arial" w:eastAsia="Arial" w:hAnsi="Arial"/>
          <w:sz w:val="19"/>
          <w:szCs w:val="19"/>
          <w:color w:val="auto"/>
        </w:rPr>
        <w:t>for full year 2025 was $1.27 billion, or $28.19 per diluted share, compared to $1.01 billion, or $21.52 per diluted</w:t>
      </w:r>
      <w:r>
        <w:rPr>
          <w:rFonts w:ascii="Arial" w:cs="Arial" w:eastAsia="Arial" w:hAnsi="Arial"/>
          <w:sz w:val="22"/>
          <w:szCs w:val="22"/>
          <w:b w:val="1"/>
          <w:bCs w:val="1"/>
          <w:color w:val="auto"/>
        </w:rPr>
        <w:t xml:space="preserve"> </w:t>
      </w:r>
      <w:r>
        <w:rPr>
          <w:rFonts w:ascii="Arial" w:cs="Arial" w:eastAsia="Arial" w:hAnsi="Arial"/>
          <w:sz w:val="19"/>
          <w:szCs w:val="19"/>
          <w:color w:val="auto"/>
        </w:rPr>
        <w:t>share, for full year 2024. Net income for full year 2025 included $20.0 million, or $ 14.8 million after taxes, of transaction expenses related to the acquisition of Miller Electric Company in the first quarter and the sale of EMCOR’s United Kingdom operations in the fourth quarter. Net income for full year 2025 additionally included a gain of $144.9 million, or $119.7 million after taxes, from the sale of EMCOR’s United Kingdom operations. Excluding these items, non-GAAP net income for full year 2025 was $1.17 billion, or $25.87 per diluted share.</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Operating income </w:t>
      </w:r>
      <w:r>
        <w:rPr>
          <w:rFonts w:ascii="Arial" w:cs="Arial" w:eastAsia="Arial" w:hAnsi="Arial"/>
          <w:sz w:val="20"/>
          <w:szCs w:val="20"/>
          <w:color w:val="auto"/>
        </w:rPr>
        <w:t>for full year 2025 was $1.71 billion, or 10.1% of revenues, compared to $1.34 billion, or 9.2% of revenues,</w:t>
      </w:r>
      <w:r>
        <w:rPr>
          <w:rFonts w:ascii="Arial" w:cs="Arial" w:eastAsia="Arial" w:hAnsi="Arial"/>
          <w:sz w:val="20"/>
          <w:szCs w:val="20"/>
          <w:b w:val="1"/>
          <w:bCs w:val="1"/>
          <w:color w:val="auto"/>
        </w:rPr>
        <w:t xml:space="preserve"> </w:t>
      </w:r>
      <w:r>
        <w:rPr>
          <w:rFonts w:ascii="Arial" w:cs="Arial" w:eastAsia="Arial" w:hAnsi="Arial"/>
          <w:sz w:val="20"/>
          <w:szCs w:val="20"/>
          <w:color w:val="auto"/>
        </w:rPr>
        <w:t>for full year 2024. Excluding the previously referenced transaction expenses and gain on sale of EMCOR’s United Kingdom operations, non-GAAP operating income for full year 2025 was $1.59 billion, or 9.4% of revenues. Operating income included depreciation and amortization expense (inclusive of amortization of identifiable intangible assets) of $186.4 million and $133.7 million for full year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277" w:right="339" w:bottom="1440" w:gutter="0" w:footer="0" w:header="0"/>
        </w:sectPr>
      </w:pPr>
    </w:p>
    <w:bookmarkStart w:id="4" w:name="page5"/>
    <w:bookmarkEnd w:id="4"/>
    <w:p>
      <w:pPr>
        <w:ind w:left="80"/>
        <w:spacing w:after="0"/>
        <w:tabs>
          <w:tab w:leader="none" w:pos="1056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51510"/>
                    </a:xfrm>
                    <a:prstGeom prst="rect">
                      <a:avLst/>
                    </a:prstGeom>
                    <a:noFill/>
                  </pic:spPr>
                </pic:pic>
              </a:graphicData>
            </a:graphic>
          </wp:anchor>
        </w:drawing>
        <w:t>EMCOR Reports Fourth Quarter and Full Year Results</w:t>
      </w:r>
      <w:r>
        <w:rPr>
          <w:sz w:val="20"/>
          <w:szCs w:val="20"/>
          <w:color w:val="auto"/>
        </w:rPr>
        <w:tab/>
      </w:r>
      <w:r>
        <w:rPr>
          <w:rFonts w:ascii="Arial" w:cs="Arial" w:eastAsia="Arial" w:hAnsi="Arial"/>
          <w:sz w:val="19"/>
          <w:szCs w:val="19"/>
          <w:b w:val="1"/>
          <w:bCs w:val="1"/>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Refer to the attached tables for a reconciliation of non-GAAP operating income, non-GAAP operating margin, non-GAAP net income, and non-GAAP diluted earnings per share to the comparable GAAP measures.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Selling, general and administrative expenses </w:t>
      </w:r>
      <w:r>
        <w:rPr>
          <w:rFonts w:ascii="Arial" w:cs="Arial" w:eastAsia="Arial" w:hAnsi="Arial"/>
          <w:sz w:val="20"/>
          <w:szCs w:val="20"/>
          <w:color w:val="auto"/>
        </w:rPr>
        <w:t>totaled $1.71 billion, or 10.1% of revenues, for full year 2025, compared to</w:t>
      </w:r>
      <w:r>
        <w:rPr>
          <w:rFonts w:ascii="Arial" w:cs="Arial" w:eastAsia="Arial" w:hAnsi="Arial"/>
          <w:sz w:val="20"/>
          <w:szCs w:val="20"/>
          <w:b w:val="1"/>
          <w:bCs w:val="1"/>
          <w:color w:val="auto"/>
        </w:rPr>
        <w:t xml:space="preserve"> </w:t>
      </w:r>
      <w:r>
        <w:rPr>
          <w:rFonts w:ascii="Arial" w:cs="Arial" w:eastAsia="Arial" w:hAnsi="Arial"/>
          <w:sz w:val="20"/>
          <w:szCs w:val="20"/>
          <w:color w:val="auto"/>
        </w:rPr>
        <w:t>$1.42 billion, or 9.7% of revenues, for full year 2024.</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Company's </w:t>
      </w:r>
      <w:r>
        <w:rPr>
          <w:rFonts w:ascii="Arial" w:cs="Arial" w:eastAsia="Arial" w:hAnsi="Arial"/>
          <w:sz w:val="21"/>
          <w:szCs w:val="21"/>
          <w:b w:val="1"/>
          <w:bCs w:val="1"/>
          <w:color w:val="auto"/>
        </w:rPr>
        <w:t>income tax rate</w:t>
      </w:r>
      <w:r>
        <w:rPr>
          <w:rFonts w:ascii="Arial" w:cs="Arial" w:eastAsia="Arial" w:hAnsi="Arial"/>
          <w:sz w:val="20"/>
          <w:szCs w:val="20"/>
          <w:color w:val="auto"/>
        </w:rPr>
        <w:t xml:space="preserve"> for full year 2025 was 26.1%, compared to 26.9% for full year 2024.</w:t>
      </w: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Mr. Guzzi continued, “We are executing well across numerous sectors where demand for our services persists, bolstered by long-term underlying secular trends. Our execution, coupled with such demand, enabled us to achieve new milestones in 2025, including record revenues, operating margin, and diluted earnings per share. Our </w:t>
      </w:r>
      <w:r>
        <w:rPr>
          <w:rFonts w:ascii="Arial" w:cs="Arial" w:eastAsia="Arial" w:hAnsi="Arial"/>
          <w:sz w:val="21"/>
          <w:szCs w:val="21"/>
          <w:b w:val="1"/>
          <w:bCs w:val="1"/>
          <w:color w:val="auto"/>
        </w:rPr>
        <w:t>Electrical</w:t>
      </w:r>
      <w:r>
        <w:rPr>
          <w:rFonts w:ascii="Arial" w:cs="Arial" w:eastAsia="Arial" w:hAnsi="Arial"/>
          <w:sz w:val="20"/>
          <w:szCs w:val="20"/>
          <w:color w:val="auto"/>
        </w:rPr>
        <w:t xml:space="preserve"> and </w:t>
      </w:r>
      <w:r>
        <w:rPr>
          <w:rFonts w:ascii="Arial" w:cs="Arial" w:eastAsia="Arial" w:hAnsi="Arial"/>
          <w:sz w:val="21"/>
          <w:szCs w:val="21"/>
          <w:b w:val="1"/>
          <w:bCs w:val="1"/>
          <w:color w:val="auto"/>
        </w:rPr>
        <w:t>Mechanical</w:t>
      </w:r>
      <w:r>
        <w:rPr>
          <w:rFonts w:ascii="Arial" w:cs="Arial" w:eastAsia="Arial" w:hAnsi="Arial"/>
          <w:sz w:val="20"/>
          <w:szCs w:val="20"/>
          <w:color w:val="auto"/>
        </w:rPr>
        <w:t xml:space="preserve"> Construction segments continue to drive these results with combined full year revenue and operating income growth of 24.4% and 21.7%, respectively, and a combined operating margin of 12.5%. Our performance is further supported by our organic investments in construction technologies and prefabrication capabilities, which have increased our productivity and efficiency. Looking ahead to 2026, we have a solid foundation across diverse geographies and sectors and we begin the year with a strong mix of work within our record Remaining Performance Obligations. Recent acquisitions reflect our focus on expanding and complementing our existing capabilities to better serve our customers and the sale of our United Kingdom operations provides further flexibility for strategic investment. As always, we remain focused on executing for our customers, which allows us to deliver for our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2026 Guidance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Based on anticipated project mix and current visibility into the coming year, EMCOR expects the following for full year 2026:</w:t>
      </w:r>
    </w:p>
    <w:p>
      <w:pPr>
        <w:spacing w:after="0" w:line="285" w:lineRule="exact"/>
        <w:rPr>
          <w:sz w:val="20"/>
          <w:szCs w:val="20"/>
          <w:color w:val="auto"/>
        </w:rPr>
      </w:pPr>
    </w:p>
    <w:tbl>
      <w:tblPr>
        <w:tblLayout w:type="fixed"/>
        <w:tblInd w:w="1310" w:type="dxa"/>
        <w:tblCellMar>
          <w:top w:w="0" w:type="dxa"/>
          <w:left w:w="0" w:type="dxa"/>
          <w:bottom w:w="0" w:type="dxa"/>
          <w:right w:w="0" w:type="dxa"/>
        </w:tblCellMar>
      </w:tblPr>
      <w:tr>
        <w:trPr>
          <w:trHeight w:val="216"/>
        </w:trPr>
        <w:tc>
          <w:tcPr>
            <w:tcW w:w="3340" w:type="dxa"/>
            <w:vAlign w:val="bottom"/>
            <w:tcBorders>
              <w:top w:val="single" w:sz="8" w:color="auto"/>
              <w:left w:val="single" w:sz="8" w:color="auto"/>
              <w:right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500" w:type="dxa"/>
            <w:vAlign w:val="bottom"/>
            <w:tcBorders>
              <w:top w:val="single" w:sz="8" w:color="auto"/>
              <w:right w:val="single" w:sz="8" w:color="auto"/>
            </w:tcBorders>
            <w:gridSpan w:val="3"/>
          </w:tcPr>
          <w:p>
            <w:pPr>
              <w:jc w:val="center"/>
              <w:ind w:right="880"/>
              <w:spacing w:after="0"/>
              <w:rPr>
                <w:sz w:val="20"/>
                <w:szCs w:val="20"/>
                <w:color w:val="auto"/>
              </w:rPr>
            </w:pPr>
            <w:r>
              <w:rPr>
                <w:rFonts w:ascii="Arial" w:cs="Arial" w:eastAsia="Arial" w:hAnsi="Arial"/>
                <w:sz w:val="18"/>
                <w:szCs w:val="18"/>
                <w:b w:val="1"/>
                <w:bCs w:val="1"/>
                <w:color w:val="auto"/>
                <w:w w:val="99"/>
              </w:rPr>
              <w:t>Full Year Guidance</w:t>
            </w:r>
          </w:p>
        </w:tc>
      </w:tr>
      <w:tr>
        <w:trPr>
          <w:trHeight w:val="48"/>
        </w:trPr>
        <w:tc>
          <w:tcPr>
            <w:tcW w:w="3340" w:type="dxa"/>
            <w:vAlign w:val="bottom"/>
            <w:tcBorders>
              <w:left w:val="single" w:sz="8" w:color="auto"/>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r>
      <w:tr>
        <w:trPr>
          <w:trHeight w:val="260"/>
        </w:trPr>
        <w:tc>
          <w:tcPr>
            <w:tcW w:w="3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Revenues</w:t>
            </w:r>
          </w:p>
        </w:tc>
        <w:tc>
          <w:tcPr>
            <w:tcW w:w="3320" w:type="dxa"/>
            <w:vAlign w:val="bottom"/>
            <w:tcBorders>
              <w:right w:val="single" w:sz="8" w:color="auto"/>
            </w:tcBorders>
            <w:gridSpan w:val="4"/>
          </w:tcPr>
          <w:p>
            <w:pPr>
              <w:jc w:val="center"/>
              <w:ind w:right="40"/>
              <w:spacing w:after="0"/>
              <w:rPr>
                <w:sz w:val="20"/>
                <w:szCs w:val="20"/>
                <w:color w:val="auto"/>
              </w:rPr>
            </w:pPr>
            <w:r>
              <w:rPr>
                <w:rFonts w:ascii="Arial" w:cs="Arial" w:eastAsia="Arial" w:hAnsi="Arial"/>
                <w:sz w:val="20"/>
                <w:szCs w:val="20"/>
                <w:color w:val="auto"/>
                <w:w w:val="99"/>
              </w:rPr>
              <w:t>$17.75 billion – $18.50 billion</w:t>
            </w:r>
          </w:p>
        </w:tc>
      </w:tr>
      <w:tr>
        <w:trPr>
          <w:trHeight w:val="30"/>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60"/>
        </w:trPr>
        <w:tc>
          <w:tcPr>
            <w:tcW w:w="3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Operating Margin</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9.0%</w:t>
            </w: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 9.4%</w:t>
            </w:r>
          </w:p>
        </w:tc>
      </w:tr>
      <w:tr>
        <w:trPr>
          <w:trHeight w:val="30"/>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60"/>
        </w:trPr>
        <w:tc>
          <w:tcPr>
            <w:tcW w:w="3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Diluted EPS</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$27.25</w:t>
            </w:r>
          </w:p>
        </w:tc>
        <w:tc>
          <w:tcPr>
            <w:tcW w:w="17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 $29.25</w:t>
            </w:r>
          </w:p>
        </w:tc>
      </w:tr>
      <w:tr>
        <w:trPr>
          <w:trHeight w:val="30"/>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and Full-Year 2025 Earnings Conference Call Information</w:t>
      </w:r>
    </w:p>
    <w:p>
      <w:pPr>
        <w:spacing w:after="0" w:line="258"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 xml:space="preserve">EMCOR Group's fourth quarter conference call will be broadcast live via the internet today, Thursday, February 26, at 10:30 AM Eastern Standard Time and can be accessed through the Company's website at </w:t>
      </w:r>
      <w:r>
        <w:rPr>
          <w:rFonts w:ascii="Arial" w:cs="Arial" w:eastAsia="Arial" w:hAnsi="Arial"/>
          <w:sz w:val="20"/>
          <w:szCs w:val="20"/>
          <w:color w:val="0000FF"/>
        </w:rPr>
        <w:t>www.emcorgroup.com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277" w:right="339" w:bottom="1440" w:gutter="0" w:footer="0" w:header="0"/>
        </w:sectPr>
      </w:pPr>
    </w:p>
    <w:bookmarkStart w:id="5" w:name="page6"/>
    <w:bookmarkEnd w:id="5"/>
    <w:p>
      <w:pPr>
        <w:ind w:left="80"/>
        <w:spacing w:after="0"/>
        <w:tabs>
          <w:tab w:leader="none" w:pos="1056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651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51510"/>
                    </a:xfrm>
                    <a:prstGeom prst="rect">
                      <a:avLst/>
                    </a:prstGeom>
                    <a:noFill/>
                  </pic:spPr>
                </pic:pic>
              </a:graphicData>
            </a:graphic>
          </wp:anchor>
        </w:drawing>
        <w:t>EMCOR Reports Fourth Quarter and Full Year Results</w:t>
      </w:r>
      <w:r>
        <w:rPr>
          <w:sz w:val="20"/>
          <w:szCs w:val="20"/>
          <w:color w:val="auto"/>
        </w:rPr>
        <w:tab/>
      </w:r>
      <w:r>
        <w:rPr>
          <w:rFonts w:ascii="Arial" w:cs="Arial" w:eastAsia="Arial" w:hAnsi="Arial"/>
          <w:sz w:val="19"/>
          <w:szCs w:val="19"/>
          <w:b w:val="1"/>
          <w:bCs w:val="1"/>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EMCOR</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A Fortune 500 company and a member of the S&amp;P 500, EMCOR Group, Inc. is a leader in mechanical and electrical construction services, industrial and energy infrastructure, and building services. This press release and other press releases may be viewed at the Company’s website at </w:t>
      </w:r>
      <w:r>
        <w:rPr>
          <w:rFonts w:ascii="Arial" w:cs="Arial" w:eastAsia="Arial" w:hAnsi="Arial"/>
          <w:sz w:val="20"/>
          <w:szCs w:val="20"/>
          <w:u w:val="single" w:color="auto"/>
          <w:color w:val="0000FF"/>
        </w:rPr>
        <w:t>www.emcorgroup.com</w:t>
      </w:r>
      <w:r>
        <w:rPr>
          <w:rFonts w:ascii="Arial" w:cs="Arial" w:eastAsia="Arial" w:hAnsi="Arial"/>
          <w:sz w:val="20"/>
          <w:szCs w:val="20"/>
          <w:color w:val="auto"/>
        </w:rPr>
        <w:t xml:space="preserve">. EMCOR routinely posts information that may be important to investors on the landing page of the Company's website and in the “Investor Relations” section of the website at </w:t>
      </w:r>
      <w:r>
        <w:rPr>
          <w:rFonts w:ascii="Arial" w:cs="Arial" w:eastAsia="Arial" w:hAnsi="Arial"/>
          <w:sz w:val="20"/>
          <w:szCs w:val="20"/>
          <w:u w:val="single" w:color="auto"/>
          <w:color w:val="0000FF"/>
        </w:rPr>
        <w:t>www.emcorgroup.com/investor-relations</w:t>
      </w:r>
      <w:r>
        <w:rPr>
          <w:rFonts w:ascii="Arial" w:cs="Arial" w:eastAsia="Arial" w:hAnsi="Arial"/>
          <w:sz w:val="20"/>
          <w:szCs w:val="20"/>
          <w:color w:val="000000"/>
        </w:rPr>
        <w:t>. Investors and potential investors are encouraged to consult the EMCOR website</w:t>
      </w:r>
      <w:r>
        <w:rPr>
          <w:rFonts w:ascii="Arial" w:cs="Arial" w:eastAsia="Arial" w:hAnsi="Arial"/>
          <w:sz w:val="20"/>
          <w:szCs w:val="20"/>
          <w:color w:val="0000FF"/>
        </w:rPr>
        <w:t xml:space="preserve"> </w:t>
      </w:r>
      <w:r>
        <w:rPr>
          <w:rFonts w:ascii="Arial" w:cs="Arial" w:eastAsia="Arial" w:hAnsi="Arial"/>
          <w:sz w:val="20"/>
          <w:szCs w:val="20"/>
          <w:color w:val="000000"/>
        </w:rPr>
        <w:t>regularly for important information about EMCOR.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 Looking Statements:</w:t>
      </w: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This release and related presentation contain forward-looking statements. Such statements speak only as of February 26, 2026, and EMCOR assumes no obligation to update any such forward-looking statements, unless required by law. These forward-looking statements include statements regarding anticipated future operating and financial performance; financial guidance and projections underlying that guidance; the nature and impact of our remaining performance obligations; the timing of future projects; our ability to support organic growth and balanced capital allocation, including the anticipated impact of our strategic investments; the financial and operational impact of acquisitions and/or dispositions, our competitiveness, market opportunities, and growth prospects; customer trends; and project mix. These forward-looking statements involve risks and uncertainties that could cause actual results to differ materially from those anticipated (whether expressly or implied) by the forward-looking statements. Accordingly, these statements do not guarantee future performance or events. Applicable risks and uncertainties include, but are not limited to, adverse effects of general economic conditions; domestic and international political developments and/or conflicts; changes in the specific markets for EMCOR’s services; weakness of the sectors from which we generate revenues; adverse business conditions; scarcity of skilled labor; productivity challenges; the nature and extent of supply chain disruptions impacting availability and pricing of materials; inflationary trends, including fluctuations in energy costs; the impact of legislation and/or government regulations; changes in foreign trade policy including the effect of tariffs; changes in interest rates; the lack of availability of adequate levels of surety bonding; increased competition; the impact of legal proceedings, claims, lawsuits, or governmental investigations; and unfavorable developments in the mix of our business. Certain of the risk factors associated with EMCOR’s business are also discussed in Part I, Item 1A “Risk Factors,” of the Company’s 2025 Form 10-K, and in other reports filed from time to time with the Securities and Exchange Commission and available at www.sec.gov and www.emcorgroup.com. Such risk factors should be taken into account in evaluating our business, including any forward-looking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Measures: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This release and related presentation also include certain financial measures that were not prepared in accordance with U.S. generally accepted accounting principles (GAAP). Reconciliations of those non-GAAP financial measures to the most directly comparable GAAP financial measures are included in this release. The Company uses these non-GAAP measures as key performance indicators for the purpose of evaluating performance internally. We also believe that these non-GAAP measures provide investors with useful information with respect to our ongoing operations. Any non-GAAP financial measures presented are not, and should not be viewed as, substitutes for financial measures required by GAAP, have no standardized meaning prescribed by GAAP, and may not be comparable to the calculation of similar measures of other companies.</w:t>
      </w:r>
    </w:p>
    <w:p>
      <w:pPr>
        <w:sectPr>
          <w:pgSz w:w="11900" w:h="16838" w:orient="portrait"/>
          <w:cols w:equalWidth="0" w:num="1">
            <w:col w:w="11240"/>
          </w:cols>
          <w:pgMar w:left="320" w:top="1277" w:right="339" w:bottom="1440" w:gutter="0" w:footer="0" w:header="0"/>
        </w:sectPr>
      </w:pPr>
    </w:p>
    <w:bookmarkStart w:id="6" w:name="page7"/>
    <w:bookmarkEnd w:id="6"/>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51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information)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center"/>
              <w:ind w:left="539"/>
              <w:spacing w:after="0"/>
              <w:rPr>
                <w:sz w:val="20"/>
                <w:szCs w:val="20"/>
                <w:color w:val="auto"/>
              </w:rPr>
            </w:pPr>
            <w:r>
              <w:rPr>
                <w:rFonts w:ascii="Arial" w:cs="Arial" w:eastAsia="Arial" w:hAnsi="Arial"/>
                <w:sz w:val="16"/>
                <w:szCs w:val="16"/>
                <w:color w:val="auto"/>
              </w:rPr>
              <w:t>(Unaudited)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420"/>
              <w:spacing w:after="0" w:line="164" w:lineRule="exact"/>
              <w:rPr>
                <w:sz w:val="20"/>
                <w:szCs w:val="20"/>
                <w:color w:val="auto"/>
              </w:rPr>
            </w:pPr>
            <w:r>
              <w:rPr>
                <w:rFonts w:ascii="Arial" w:cs="Arial" w:eastAsia="Arial" w:hAnsi="Arial"/>
                <w:sz w:val="16"/>
                <w:szCs w:val="16"/>
                <w:b w:val="1"/>
                <w:bCs w:val="1"/>
                <w:color w:val="auto"/>
              </w:rPr>
              <w:t>For the quarters ended</w:t>
            </w:r>
          </w:p>
        </w:tc>
        <w:tc>
          <w:tcPr>
            <w:tcW w:w="320" w:type="dxa"/>
            <w:vAlign w:val="bottom"/>
          </w:tcPr>
          <w:p>
            <w:pPr>
              <w:spacing w:after="0"/>
              <w:rPr>
                <w:sz w:val="14"/>
                <w:szCs w:val="14"/>
                <w:color w:val="auto"/>
              </w:rPr>
            </w:pPr>
          </w:p>
        </w:tc>
        <w:tc>
          <w:tcPr>
            <w:tcW w:w="2620" w:type="dxa"/>
            <w:vAlign w:val="bottom"/>
            <w:gridSpan w:val="4"/>
          </w:tcPr>
          <w:p>
            <w:pPr>
              <w:jc w:val="right"/>
              <w:ind w:right="619"/>
              <w:spacing w:after="0" w:line="164" w:lineRule="exact"/>
              <w:rPr>
                <w:sz w:val="20"/>
                <w:szCs w:val="20"/>
                <w:color w:val="auto"/>
              </w:rPr>
            </w:pPr>
            <w:r>
              <w:rPr>
                <w:rFonts w:ascii="Arial" w:cs="Arial" w:eastAsia="Arial" w:hAnsi="Arial"/>
                <w:sz w:val="16"/>
                <w:szCs w:val="16"/>
                <w:b w:val="1"/>
                <w:bCs w:val="1"/>
                <w:color w:val="auto"/>
              </w:rPr>
              <w:t>For the years ended</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4,513,121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3,770,019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16,986,422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14,566,116</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3,621,935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3,013,004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13,703,434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11,801,065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891,186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757,015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3,282,988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2,765,051</w:t>
            </w:r>
          </w:p>
        </w:tc>
        <w:tc>
          <w:tcPr>
            <w:tcW w:w="0" w:type="dxa"/>
            <w:vAlign w:val="bottom"/>
          </w:tcPr>
          <w:p>
            <w:pPr>
              <w:spacing w:after="0"/>
              <w:rPr>
                <w:sz w:val="1"/>
                <w:szCs w:val="1"/>
                <w:color w:val="auto"/>
              </w:rPr>
            </w:pP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462,308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368,451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1,714,446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1,420,188</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United Kingdom operations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144,876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573,754</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388,564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1,713,418</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1,344,863</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income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 net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1,721,624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1,377,382</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143,203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106,293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448,807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370,237</w:t>
            </w:r>
          </w:p>
        </w:tc>
        <w:tc>
          <w:tcPr>
            <w:tcW w:w="0" w:type="dxa"/>
            <w:vAlign w:val="bottom"/>
          </w:tcPr>
          <w:p>
            <w:pPr>
              <w:spacing w:after="0"/>
              <w:rPr>
                <w:sz w:val="1"/>
                <w:szCs w:val="1"/>
                <w:color w:val="auto"/>
              </w:rPr>
            </w:pP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434,607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292,161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1,272,817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1,007,145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common share:</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24"/>
                <w:szCs w:val="24"/>
                <w:color w:val="auto"/>
              </w:rPr>
            </w:pPr>
          </w:p>
        </w:tc>
        <w:tc>
          <w:tcPr>
            <w:tcW w:w="5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100" w:type="dxa"/>
            <w:vAlign w:val="bottom"/>
            <w:shd w:val="clear" w:color="auto" w:fill="CCEEFF"/>
          </w:tcPr>
          <w:p>
            <w:pPr>
              <w:spacing w:after="0"/>
              <w:rPr>
                <w:sz w:val="24"/>
                <w:szCs w:val="24"/>
                <w:color w:val="auto"/>
              </w:rPr>
            </w:pPr>
          </w:p>
        </w:tc>
        <w:tc>
          <w:tcPr>
            <w:tcW w:w="50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75"/>
        </w:trPr>
        <w:tc>
          <w:tcPr>
            <w:tcW w:w="524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auto"/>
            </w:tcBorders>
            <w:vMerge w:val="continue"/>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of common stock outstanding:</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16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44,701,263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45,989,277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44,982,102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46,616,079</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44,876,295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46,198,291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45,145,767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46,808,293</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 per common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5151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176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2025</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1,111,968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1,339,550</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4,241,177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3,577,537</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284,791</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126,252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95,667</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120,231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91,644</w:t>
            </w: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5,937,345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5,389,189</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207,489</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439,029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316,128</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1,412,414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1,018,415</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Identifiable intangible assets, net</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1,108,828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648,180</w:t>
            </w: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140,506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137,072</w:t>
            </w: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9,291,399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7,716,473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1,227,428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937,087</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2,327,360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2,047,540</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benefits</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870,154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751,434</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Other accrued expenses and liabilities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340,785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336,555</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99,213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81,247</w:t>
            </w: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4,864,940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4,153,863</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long-term</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261,575</w:t>
            </w: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obligations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382,482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362,341</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5,616,418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4,777,779</w:t>
            </w: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Equity:</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EMCOR Group, Inc. stockholders’ equity</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3,673,944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2,937,657</w:t>
            </w: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equity</w:t>
            </w: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3,674,981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2,938,694</w:t>
            </w: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9,291,399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7,716,473</w:t>
            </w:r>
          </w:p>
        </w:tc>
      </w:tr>
      <w:tr>
        <w:trPr>
          <w:trHeight w:val="20"/>
        </w:trPr>
        <w:tc>
          <w:tcPr>
            <w:tcW w:w="7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20" w:top="1440" w:right="379" w:bottom="1440" w:gutter="0" w:footer="0" w:header="0"/>
        </w:sectPr>
      </w:pPr>
    </w:p>
    <w:bookmarkStart w:id="8" w:name="page9"/>
    <w:bookmarkEnd w:id="8"/>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5151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the Years Ended December 31, 2025 and 2024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08"/>
        </w:trPr>
        <w:tc>
          <w:tcPr>
            <w:tcW w:w="8000" w:type="dxa"/>
            <w:vAlign w:val="bottom"/>
          </w:tcPr>
          <w:p>
            <w:pPr>
              <w:ind w:left="20"/>
              <w:spacing w:after="0"/>
              <w:rPr>
                <w:sz w:val="20"/>
                <w:szCs w:val="20"/>
                <w:color w:val="auto"/>
              </w:rPr>
            </w:pPr>
            <w:r>
              <w:rPr>
                <w:rFonts w:ascii="Arial" w:cs="Arial" w:eastAsia="Arial" w:hAnsi="Arial"/>
                <w:sz w:val="16"/>
                <w:szCs w:val="16"/>
                <w:color w:val="auto"/>
              </w:rPr>
              <w:t>Cash flows - operating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1,272,817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1,007,145</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56,678</w:t>
            </w:r>
          </w:p>
        </w:tc>
      </w:tr>
      <w:tr>
        <w:trPr>
          <w:trHeight w:val="215"/>
        </w:trPr>
        <w:tc>
          <w:tcPr>
            <w:tcW w:w="8000" w:type="dxa"/>
            <w:vAlign w:val="bottom"/>
          </w:tcPr>
          <w:p>
            <w:pPr>
              <w:ind w:left="240"/>
              <w:spacing w:after="0"/>
              <w:rPr>
                <w:sz w:val="20"/>
                <w:szCs w:val="20"/>
                <w:color w:val="auto"/>
              </w:rPr>
            </w:pPr>
            <w:r>
              <w:rPr>
                <w:rFonts w:ascii="Arial" w:cs="Arial" w:eastAsia="Arial" w:hAnsi="Arial"/>
                <w:sz w:val="16"/>
                <w:szCs w:val="16"/>
                <w:color w:val="auto"/>
              </w:rPr>
              <w:t>Amortization of identifiable intangible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119,052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77,002</w:t>
            </w:r>
          </w:p>
        </w:tc>
      </w:tr>
      <w:tr>
        <w:trPr>
          <w:trHeight w:val="217"/>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17,303</w:t>
            </w:r>
          </w:p>
        </w:tc>
      </w:tr>
      <w:tr>
        <w:trPr>
          <w:trHeight w:val="215"/>
        </w:trPr>
        <w:tc>
          <w:tcPr>
            <w:tcW w:w="800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(29,115)</w:t>
            </w:r>
          </w:p>
        </w:tc>
      </w:tr>
      <w:tr>
        <w:trPr>
          <w:trHeight w:val="217"/>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sale of United Kingdom operations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00" w:type="dxa"/>
            <w:vAlign w:val="bottom"/>
          </w:tcPr>
          <w:p>
            <w:pPr>
              <w:ind w:left="240"/>
              <w:spacing w:after="0"/>
              <w:rPr>
                <w:sz w:val="20"/>
                <w:szCs w:val="20"/>
                <w:color w:val="auto"/>
              </w:rPr>
            </w:pPr>
            <w:r>
              <w:rPr>
                <w:rFonts w:ascii="Arial" w:cs="Arial" w:eastAsia="Arial" w:hAnsi="Arial"/>
                <w:sz w:val="16"/>
                <w:szCs w:val="16"/>
                <w:color w:val="auto"/>
              </w:rPr>
              <w:t>Gain on sale or disposal of property, plant, and equipment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(1,012)</w:t>
            </w:r>
          </w:p>
        </w:tc>
      </w:tr>
      <w:tr>
        <w:trPr>
          <w:trHeight w:val="217"/>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(income) expense from contingent consideration arrangements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8,892</w:t>
            </w:r>
          </w:p>
        </w:tc>
      </w:tr>
      <w:tr>
        <w:trPr>
          <w:trHeight w:val="215"/>
        </w:trPr>
        <w:tc>
          <w:tcPr>
            <w:tcW w:w="8000" w:type="dxa"/>
            <w:vAlign w:val="bottom"/>
          </w:tcPr>
          <w:p>
            <w:pPr>
              <w:ind w:left="240"/>
              <w:spacing w:after="0"/>
              <w:rPr>
                <w:sz w:val="20"/>
                <w:szCs w:val="20"/>
                <w:color w:val="auto"/>
              </w:rPr>
            </w:pPr>
            <w:r>
              <w:rPr>
                <w:rFonts w:ascii="Arial" w:cs="Arial" w:eastAsia="Arial" w:hAnsi="Arial"/>
                <w:sz w:val="16"/>
                <w:szCs w:val="16"/>
                <w:color w:val="auto"/>
              </w:rPr>
              <w:t>Non-cash share-based compensation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19,978</w:t>
            </w:r>
          </w:p>
        </w:tc>
      </w:tr>
      <w:tr>
        <w:trPr>
          <w:trHeight w:val="217"/>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reconciling items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r>
      <w:tr>
        <w:trPr>
          <w:trHeight w:val="21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operating assets and liabilities, excluding the effect of businesses acquired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252,723</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1,302,063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1,407,894</w:t>
            </w:r>
          </w:p>
        </w:tc>
      </w:tr>
      <w:tr>
        <w:trPr>
          <w:trHeight w:val="208"/>
        </w:trPr>
        <w:tc>
          <w:tcPr>
            <w:tcW w:w="8000" w:type="dxa"/>
            <w:vAlign w:val="bottom"/>
          </w:tcPr>
          <w:p>
            <w:pPr>
              <w:ind w:left="20"/>
              <w:spacing w:after="0"/>
              <w:rPr>
                <w:sz w:val="20"/>
                <w:szCs w:val="20"/>
                <w:color w:val="auto"/>
              </w:rPr>
            </w:pPr>
            <w:r>
              <w:rPr>
                <w:rFonts w:ascii="Arial" w:cs="Arial" w:eastAsia="Arial" w:hAnsi="Arial"/>
                <w:sz w:val="16"/>
                <w:szCs w:val="16"/>
                <w:color w:val="auto"/>
              </w:rPr>
              <w:t>Cash flows - 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acquisitions of businesses, net of cash acquired</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(1,022,105)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(228,173)</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Net proceeds from sale of United Kingdom operations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256,622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or disposal of property, plant, and equipment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w:t>
            </w:r>
          </w:p>
        </w:tc>
      </w:tr>
      <w:tr>
        <w:trPr>
          <w:trHeight w:val="21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(74,950)</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(873,586)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(299,284)</w:t>
            </w:r>
          </w:p>
        </w:tc>
      </w:tr>
      <w:tr>
        <w:trPr>
          <w:trHeight w:val="208"/>
        </w:trPr>
        <w:tc>
          <w:tcPr>
            <w:tcW w:w="8000" w:type="dxa"/>
            <w:vAlign w:val="bottom"/>
          </w:tcPr>
          <w:p>
            <w:pPr>
              <w:ind w:left="20"/>
              <w:spacing w:after="0"/>
              <w:rPr>
                <w:sz w:val="20"/>
                <w:szCs w:val="20"/>
                <w:color w:val="auto"/>
              </w:rPr>
            </w:pPr>
            <w:r>
              <w:rPr>
                <w:rFonts w:ascii="Arial" w:cs="Arial" w:eastAsia="Arial" w:hAnsi="Arial"/>
                <w:sz w:val="16"/>
                <w:szCs w:val="16"/>
                <w:color w:val="auto"/>
              </w:rPr>
              <w:t>Cash flows - financing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revolving credit facility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Repayments of revolving credit facility</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finance lease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Dividends paid to stockholders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(43,384)</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(586,258)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(489,820)</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Taxes paid related to net share settlements of equity awards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(15,397)</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Issuances of common stock under employee stock purchase plan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Payments for contingent consideration arrangements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(4,852)</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(663,761)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(555,365)</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(Decrease) increase in cash, cash equivalents, and restricted cash</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(228,427)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550,645</w:t>
            </w:r>
          </w:p>
        </w:tc>
      </w:tr>
      <w:tr>
        <w:trPr>
          <w:trHeight w:val="216"/>
        </w:trPr>
        <w:tc>
          <w:tcPr>
            <w:tcW w:w="8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Cash, cash equivalents, and restricted cash at beginning of year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1,340,395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789,750</w:t>
            </w:r>
          </w:p>
        </w:tc>
      </w:tr>
      <w:tr>
        <w:trPr>
          <w:trHeight w:val="210"/>
        </w:trPr>
        <w:tc>
          <w:tcPr>
            <w:tcW w:w="800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 xml:space="preserve">Cash, cash equivalents, and restricted cash at end of period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1,111,968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1,340,395</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$0.8 million of restricted cash classified as “Prepaid expenses and other” in the Condensed Consolidated Balance Sheet as of December 31, 2024.</w:t>
      </w:r>
    </w:p>
    <w:p>
      <w:pPr>
        <w:sectPr>
          <w:pgSz w:w="11900" w:h="16838" w:orient="portrait"/>
          <w:cols w:equalWidth="0" w:num="1">
            <w:col w:w="11180"/>
          </w:cols>
          <w:pgMar w:left="320" w:top="1440" w:right="399" w:bottom="1440" w:gutter="0" w:footer="0" w:header="0"/>
        </w:sectPr>
      </w:pPr>
    </w:p>
    <w:bookmarkStart w:id="9" w:name="page10"/>
    <w:bookmarkEnd w:id="9"/>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51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percentages)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left="339"/>
              <w:spacing w:after="0"/>
              <w:rPr>
                <w:sz w:val="20"/>
                <w:szCs w:val="20"/>
                <w:color w:val="auto"/>
              </w:rPr>
            </w:pPr>
            <w:r>
              <w:rPr>
                <w:rFonts w:ascii="Arial" w:cs="Arial" w:eastAsia="Arial" w:hAnsi="Arial"/>
                <w:sz w:val="16"/>
                <w:szCs w:val="16"/>
                <w:color w:val="auto"/>
              </w:rPr>
              <w:t>(Unaudited)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center"/>
              <w:ind w:right="519"/>
              <w:spacing w:after="0" w:line="164" w:lineRule="exact"/>
              <w:rPr>
                <w:sz w:val="20"/>
                <w:szCs w:val="20"/>
                <w:color w:val="auto"/>
              </w:rPr>
            </w:pPr>
            <w:r>
              <w:rPr>
                <w:rFonts w:ascii="Arial" w:cs="Arial" w:eastAsia="Arial" w:hAnsi="Arial"/>
                <w:sz w:val="16"/>
                <w:szCs w:val="16"/>
                <w:b w:val="1"/>
                <w:bCs w:val="1"/>
                <w:color w:val="auto"/>
              </w:rPr>
              <w:t>For the quarters ended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6"/>
                <w:szCs w:val="16"/>
                <w:b w:val="1"/>
                <w:bCs w:val="1"/>
                <w:color w:val="auto"/>
                <w:w w:val="99"/>
              </w:rPr>
              <w:t>December 31,</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960" w:type="dxa"/>
            <w:vAlign w:val="bottom"/>
            <w:gridSpan w:val="2"/>
          </w:tcPr>
          <w:p>
            <w:pPr>
              <w:ind w:left="260"/>
              <w:spacing w:after="0" w:line="155" w:lineRule="exact"/>
              <w:rPr>
                <w:sz w:val="20"/>
                <w:szCs w:val="20"/>
                <w:color w:val="auto"/>
              </w:rPr>
            </w:pPr>
            <w:r>
              <w:rPr>
                <w:rFonts w:ascii="Arial" w:cs="Arial" w:eastAsia="Arial" w:hAnsi="Arial"/>
                <w:sz w:val="16"/>
                <w:szCs w:val="16"/>
                <w:b w:val="1"/>
                <w:bCs w:val="1"/>
                <w:color w:val="auto"/>
              </w:rPr>
              <w:t>% of</w:t>
            </w:r>
          </w:p>
        </w:tc>
        <w:tc>
          <w:tcPr>
            <w:tcW w:w="540" w:type="dxa"/>
            <w:vAlign w:val="bottom"/>
          </w:tcPr>
          <w:p>
            <w:pPr>
              <w:spacing w:after="0"/>
              <w:rPr>
                <w:sz w:val="13"/>
                <w:szCs w:val="13"/>
                <w:color w:val="auto"/>
              </w:rPr>
            </w:pPr>
          </w:p>
        </w:tc>
        <w:tc>
          <w:tcPr>
            <w:tcW w:w="9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920" w:type="dxa"/>
            <w:vAlign w:val="bottom"/>
          </w:tcPr>
          <w:p>
            <w:pPr>
              <w:ind w:left="300"/>
              <w:spacing w:after="0" w:line="155"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5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Revenues from unrelated entities:</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1,360,892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933,192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5"/>
        </w:trPr>
        <w:tc>
          <w:tcPr>
            <w:tcW w:w="612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1,943,342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1,660,600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772,481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755,626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341,111</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312,680</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4,417,826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3,662,098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Kingdom building services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95,295</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107,921</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4,513,121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3,770,019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jc w:val="center"/>
              <w:ind w:right="499"/>
              <w:spacing w:after="0"/>
              <w:rPr>
                <w:sz w:val="20"/>
                <w:szCs w:val="20"/>
                <w:color w:val="auto"/>
              </w:rPr>
            </w:pPr>
            <w:r>
              <w:rPr>
                <w:rFonts w:ascii="Arial" w:cs="Arial" w:eastAsia="Arial" w:hAnsi="Arial"/>
                <w:sz w:val="16"/>
                <w:szCs w:val="16"/>
                <w:b w:val="1"/>
                <w:bCs w:val="1"/>
                <w:color w:val="auto"/>
              </w:rPr>
              <w:t>For the years ended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6"/>
                <w:szCs w:val="16"/>
                <w:b w:val="1"/>
                <w:bCs w:val="1"/>
                <w:color w:val="auto"/>
                <w:w w:val="99"/>
              </w:rPr>
              <w:t>December 31,</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960" w:type="dxa"/>
            <w:vAlign w:val="bottom"/>
            <w:gridSpan w:val="2"/>
          </w:tcPr>
          <w:p>
            <w:pPr>
              <w:ind w:left="260"/>
              <w:spacing w:after="0" w:line="155" w:lineRule="exact"/>
              <w:rPr>
                <w:sz w:val="20"/>
                <w:szCs w:val="20"/>
                <w:color w:val="auto"/>
              </w:rPr>
            </w:pPr>
            <w:r>
              <w:rPr>
                <w:rFonts w:ascii="Arial" w:cs="Arial" w:eastAsia="Arial" w:hAnsi="Arial"/>
                <w:sz w:val="16"/>
                <w:szCs w:val="16"/>
                <w:b w:val="1"/>
                <w:bCs w:val="1"/>
                <w:color w:val="auto"/>
              </w:rPr>
              <w:t>% of</w:t>
            </w:r>
          </w:p>
        </w:tc>
        <w:tc>
          <w:tcPr>
            <w:tcW w:w="540" w:type="dxa"/>
            <w:vAlign w:val="bottom"/>
          </w:tcPr>
          <w:p>
            <w:pPr>
              <w:spacing w:after="0"/>
              <w:rPr>
                <w:sz w:val="13"/>
                <w:szCs w:val="13"/>
                <w:color w:val="auto"/>
              </w:rPr>
            </w:pPr>
          </w:p>
        </w:tc>
        <w:tc>
          <w:tcPr>
            <w:tcW w:w="9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920" w:type="dxa"/>
            <w:vAlign w:val="bottom"/>
          </w:tcPr>
          <w:p>
            <w:pPr>
              <w:ind w:left="300"/>
              <w:spacing w:after="0" w:line="155"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5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Revenues from unrelated entities:</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5,074,252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3,342,927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5"/>
        </w:trPr>
        <w:tc>
          <w:tcPr>
            <w:tcW w:w="612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7,050,481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6,405,657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3,122,242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3,114,817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1,268,099</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1,277,190</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16,515,074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14,140,591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Kingdom building services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471,348</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425,525</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16,986,422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14,566,116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51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percentages)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left="639"/>
              <w:spacing w:after="0"/>
              <w:rPr>
                <w:sz w:val="20"/>
                <w:szCs w:val="20"/>
                <w:color w:val="auto"/>
              </w:rPr>
            </w:pPr>
            <w:r>
              <w:rPr>
                <w:rFonts w:ascii="Arial" w:cs="Arial" w:eastAsia="Arial" w:hAnsi="Arial"/>
                <w:sz w:val="16"/>
                <w:szCs w:val="16"/>
                <w:color w:val="auto"/>
              </w:rPr>
              <w:t>(Unaudited)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4"/>
          </w:tcPr>
          <w:p>
            <w:pPr>
              <w:jc w:val="center"/>
              <w:ind w:right="179"/>
              <w:spacing w:after="0" w:line="164" w:lineRule="exact"/>
              <w:rPr>
                <w:sz w:val="20"/>
                <w:szCs w:val="20"/>
                <w:color w:val="auto"/>
              </w:rPr>
            </w:pPr>
            <w:r>
              <w:rPr>
                <w:rFonts w:ascii="Arial" w:cs="Arial" w:eastAsia="Arial" w:hAnsi="Arial"/>
                <w:sz w:val="16"/>
                <w:szCs w:val="16"/>
                <w:b w:val="1"/>
                <w:bCs w:val="1"/>
                <w:color w:val="auto"/>
              </w:rPr>
              <w:t>For the quarters ended</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 of Segment</w:t>
            </w:r>
          </w:p>
        </w:tc>
        <w:tc>
          <w:tcPr>
            <w:tcW w:w="520" w:type="dxa"/>
            <w:vAlign w:val="bottom"/>
          </w:tcPr>
          <w:p>
            <w:pPr>
              <w:spacing w:after="0"/>
              <w:rPr>
                <w:sz w:val="13"/>
                <w:szCs w:val="13"/>
                <w:color w:val="auto"/>
              </w:rPr>
            </w:pPr>
          </w:p>
        </w:tc>
        <w:tc>
          <w:tcPr>
            <w:tcW w:w="9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 of Segment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5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Revenues</w:t>
            </w:r>
          </w:p>
        </w:tc>
        <w:tc>
          <w:tcPr>
            <w:tcW w:w="0" w:type="dxa"/>
            <w:vAlign w:val="bottom"/>
          </w:tcPr>
          <w:p>
            <w:pPr>
              <w:spacing w:after="0"/>
              <w:rPr>
                <w:sz w:val="1"/>
                <w:szCs w:val="1"/>
                <w:color w:val="auto"/>
              </w:rPr>
            </w:pPr>
          </w:p>
        </w:tc>
      </w:tr>
      <w:tr>
        <w:trPr>
          <w:trHeight w:val="209"/>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147,902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0" w:type="dxa"/>
            <w:vAlign w:val="bottom"/>
          </w:tcPr>
          <w:p>
            <w:pPr>
              <w:spacing w:after="0"/>
              <w:rPr>
                <w:sz w:val="1"/>
                <w:szCs w:val="1"/>
                <w:color w:val="auto"/>
              </w:rPr>
            </w:pP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250,545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12.9 %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220,622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41,334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10,209</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477,295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419,593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United Kingdom building services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340" w:type="dxa"/>
            <w:vAlign w:val="bottom"/>
            <w:gridSpan w:val="2"/>
          </w:tcPr>
          <w:p>
            <w:pPr>
              <w:ind w:left="560"/>
              <w:spacing w:after="0"/>
              <w:rPr>
                <w:sz w:val="20"/>
                <w:szCs w:val="20"/>
                <w:color w:val="auto"/>
              </w:rPr>
            </w:pPr>
            <w:r>
              <w:rPr>
                <w:rFonts w:ascii="Arial" w:cs="Arial" w:eastAsia="Arial" w:hAnsi="Arial"/>
                <w:sz w:val="16"/>
                <w:szCs w:val="16"/>
                <w:color w:val="auto"/>
              </w:rPr>
              <w:t>N/M</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4,834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administration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on sale of United Kingdom operations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144,876</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operating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573,754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388,564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Other items: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 net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9,666</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577,810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398,454</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rPr>
              <w:t>For the years ended</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 of Segment</w:t>
            </w:r>
          </w:p>
        </w:tc>
        <w:tc>
          <w:tcPr>
            <w:tcW w:w="520" w:type="dxa"/>
            <w:vAlign w:val="bottom"/>
          </w:tcPr>
          <w:p>
            <w:pPr>
              <w:spacing w:after="0"/>
              <w:rPr>
                <w:sz w:val="13"/>
                <w:szCs w:val="13"/>
                <w:color w:val="auto"/>
              </w:rPr>
            </w:pPr>
          </w:p>
        </w:tc>
        <w:tc>
          <w:tcPr>
            <w:tcW w:w="9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 of Segment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5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Revenues</w:t>
            </w:r>
          </w:p>
        </w:tc>
        <w:tc>
          <w:tcPr>
            <w:tcW w:w="0" w:type="dxa"/>
            <w:vAlign w:val="bottom"/>
          </w:tcPr>
          <w:p>
            <w:pPr>
              <w:spacing w:after="0"/>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611,952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447,186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0" w:type="dxa"/>
            <w:vAlign w:val="bottom"/>
          </w:tcPr>
          <w:p>
            <w:pPr>
              <w:spacing w:after="0"/>
              <w:rPr>
                <w:sz w:val="1"/>
                <w:szCs w:val="1"/>
                <w:color w:val="auto"/>
              </w:rPr>
            </w:pP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905,325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799,613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187,192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24,998</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44,213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1,729,467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1,467,732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United Kingdom building services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20,969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21,485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administration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(181,894)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(144,354)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on sale of United Kingdom operations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144,876</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operating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1,713,418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1,344,863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Other items: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 net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7,995</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31,625</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1,721,624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1,377,382</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51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RECONCILIATION OF ORGANIC REVENUE GROWTH</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(In thousands, except for percentages) (Unaudited)</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provides a reconciliation between organic revenue growth, a non-GAAP measure, and total revenue growth for the quarter and year ended December 31, 2025.</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For the quarter ended December 31,</w:t>
            </w:r>
          </w:p>
        </w:tc>
        <w:tc>
          <w:tcPr>
            <w:tcW w:w="120" w:type="dxa"/>
            <w:vAlign w:val="bottom"/>
          </w:tcPr>
          <w:p>
            <w:pPr>
              <w:spacing w:after="0"/>
              <w:rPr>
                <w:sz w:val="16"/>
                <w:szCs w:val="16"/>
                <w:color w:val="auto"/>
              </w:rPr>
            </w:pPr>
          </w:p>
        </w:tc>
        <w:tc>
          <w:tcPr>
            <w:tcW w:w="312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For the year ended December 31, 2025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2025</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revenue growth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743,102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2,420,306</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21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Incremental revenues from acquisitions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(385,990)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(1,273,815)</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Organic revenue growth, a non-GAAP measure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357,112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1,146,491</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5151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OTHER NON-GAAP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for percentages and per share data) (Unaudited)</w:t>
      </w:r>
    </w:p>
    <w:p>
      <w:pPr>
        <w:spacing w:after="0" w:line="96"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In our press release, we provide non-GAAP operating income, non-GAAP operating margin, non-GAAP net income, and non-GAAP diluted earnings per common share for the quarter and year ended December 31, 2025. The following tables provide a reconciliation between these amounts determined on a non-GAAP basis and the most directly comparable GAAP measures.</w:t>
      </w:r>
    </w:p>
    <w:tbl>
      <w:tblPr>
        <w:tblLayout w:type="fixed"/>
        <w:tblInd w:w="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12"/>
          </w:tcPr>
          <w:p>
            <w:pPr>
              <w:jc w:val="center"/>
              <w:ind w:right="240"/>
              <w:spacing w:after="0" w:line="169" w:lineRule="exact"/>
              <w:rPr>
                <w:sz w:val="20"/>
                <w:szCs w:val="20"/>
                <w:color w:val="auto"/>
              </w:rPr>
            </w:pPr>
            <w:r>
              <w:rPr>
                <w:rFonts w:ascii="Arial" w:cs="Arial" w:eastAsia="Arial" w:hAnsi="Arial"/>
                <w:sz w:val="15"/>
                <w:szCs w:val="15"/>
                <w:b w:val="1"/>
                <w:bCs w:val="1"/>
                <w:color w:val="auto"/>
              </w:rPr>
              <w:t>For the quarters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11"/>
          </w:tcPr>
          <w:p>
            <w:pPr>
              <w:jc w:val="center"/>
              <w:ind w:right="260"/>
              <w:spacing w:after="0" w:line="169" w:lineRule="exact"/>
              <w:rPr>
                <w:sz w:val="20"/>
                <w:szCs w:val="20"/>
                <w:color w:val="auto"/>
              </w:rPr>
            </w:pPr>
            <w:r>
              <w:rPr>
                <w:rFonts w:ascii="Arial" w:cs="Arial" w:eastAsia="Arial" w:hAnsi="Arial"/>
                <w:sz w:val="15"/>
                <w:szCs w:val="15"/>
                <w:b w:val="1"/>
                <w:bCs w:val="1"/>
                <w:color w:val="auto"/>
              </w:rPr>
              <w:t>For the years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12"/>
          </w:tcPr>
          <w:p>
            <w:pPr>
              <w:jc w:val="center"/>
              <w:ind w:right="240"/>
              <w:spacing w:after="0"/>
              <w:rPr>
                <w:sz w:val="20"/>
                <w:szCs w:val="20"/>
                <w:color w:val="auto"/>
              </w:rPr>
            </w:pPr>
            <w:r>
              <w:rPr>
                <w:rFonts w:ascii="Arial" w:cs="Arial" w:eastAsia="Arial" w:hAnsi="Arial"/>
                <w:sz w:val="15"/>
                <w:szCs w:val="15"/>
                <w:b w:val="1"/>
                <w:bCs w:val="1"/>
                <w:color w:val="auto"/>
              </w:rPr>
              <w:t>December 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11"/>
          </w:tcPr>
          <w:p>
            <w:pPr>
              <w:jc w:val="center"/>
              <w:ind w:right="26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60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GAAP operating income</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573,754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388,564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1,713,418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40" w:type="dxa"/>
            <w:vAlign w:val="bottom"/>
            <w:gridSpan w:val="3"/>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9,353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Transaction expenses related to the sale of United Kingdom operations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10,675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40" w:type="dxa"/>
            <w:vAlign w:val="bottom"/>
            <w:gridSpan w:val="3"/>
          </w:tcPr>
          <w:p>
            <w:pPr>
              <w:ind w:left="20"/>
              <w:spacing w:after="0"/>
              <w:rPr>
                <w:sz w:val="20"/>
                <w:szCs w:val="20"/>
                <w:color w:val="auto"/>
              </w:rPr>
            </w:pPr>
            <w:r>
              <w:rPr>
                <w:rFonts w:ascii="Arial" w:cs="Arial" w:eastAsia="Arial" w:hAnsi="Arial"/>
                <w:sz w:val="16"/>
                <w:szCs w:val="16"/>
                <w:color w:val="auto"/>
              </w:rPr>
              <w:t>Gain on sale of United Kingdom operations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(144,876)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6"/>
                <w:szCs w:val="16"/>
                <w:color w:val="auto"/>
              </w:rPr>
              <w:t>(144,876)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3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Non-GAAP operating income</w:t>
            </w:r>
          </w:p>
        </w:tc>
        <w:tc>
          <w:tcPr>
            <w:tcW w:w="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439,553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388,564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1,588,570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1,344,863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2"/>
          </w:tcPr>
          <w:p>
            <w:pPr>
              <w:spacing w:after="0"/>
              <w:rPr>
                <w:sz w:val="20"/>
                <w:szCs w:val="20"/>
                <w:color w:val="auto"/>
              </w:rPr>
            </w:pPr>
            <w:r>
              <w:rPr>
                <w:rFonts w:ascii="Arial" w:cs="Arial" w:eastAsia="Arial" w:hAnsi="Arial"/>
                <w:sz w:val="15"/>
                <w:szCs w:val="15"/>
                <w:b w:val="1"/>
                <w:bCs w:val="1"/>
                <w:color w:val="auto"/>
              </w:rPr>
              <w:t>For the quarters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11"/>
          </w:tcPr>
          <w:p>
            <w:pPr>
              <w:ind w:left="200"/>
              <w:spacing w:after="0"/>
              <w:rPr>
                <w:sz w:val="20"/>
                <w:szCs w:val="20"/>
                <w:color w:val="auto"/>
              </w:rPr>
            </w:pPr>
            <w:r>
              <w:rPr>
                <w:rFonts w:ascii="Arial" w:cs="Arial" w:eastAsia="Arial" w:hAnsi="Arial"/>
                <w:sz w:val="15"/>
                <w:szCs w:val="15"/>
                <w:b w:val="1"/>
                <w:bCs w:val="1"/>
                <w:color w:val="auto"/>
              </w:rPr>
              <w:t>For the years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7"/>
          </w:tcPr>
          <w:p>
            <w:pPr>
              <w:jc w:val="right"/>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11"/>
          </w:tcPr>
          <w:p>
            <w:pPr>
              <w:ind w:left="42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b w:val="1"/>
                <w:bCs w:val="1"/>
                <w:color w:val="auto"/>
                <w:w w:val="95"/>
              </w:rPr>
              <w:t>2024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margin</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gridSpan w:val="2"/>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jc w:val="right"/>
              <w:ind w:right="34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24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 expenses related to the sale of United Kingdom operations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4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on sale of United Kingdom operations</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operating margin</w:t>
            </w:r>
          </w:p>
        </w:tc>
        <w:tc>
          <w:tcPr>
            <w:tcW w:w="3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40" w:type="dxa"/>
            <w:vAlign w:val="bottom"/>
            <w:tcBorders>
              <w:left w:val="single" w:sz="8" w:color="CCEEFF"/>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2"/>
          </w:tcPr>
          <w:p>
            <w:pPr>
              <w:jc w:val="center"/>
              <w:ind w:right="200"/>
              <w:spacing w:after="0"/>
              <w:rPr>
                <w:sz w:val="20"/>
                <w:szCs w:val="20"/>
                <w:color w:val="auto"/>
              </w:rPr>
            </w:pPr>
            <w:r>
              <w:rPr>
                <w:rFonts w:ascii="Arial" w:cs="Arial" w:eastAsia="Arial" w:hAnsi="Arial"/>
                <w:sz w:val="15"/>
                <w:szCs w:val="15"/>
                <w:b w:val="1"/>
                <w:bCs w:val="1"/>
                <w:color w:val="auto"/>
              </w:rPr>
              <w:t>For the quarters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11"/>
          </w:tcPr>
          <w:p>
            <w:pPr>
              <w:jc w:val="center"/>
              <w:ind w:right="200"/>
              <w:spacing w:after="0"/>
              <w:rPr>
                <w:sz w:val="20"/>
                <w:szCs w:val="20"/>
                <w:color w:val="auto"/>
              </w:rPr>
            </w:pPr>
            <w:r>
              <w:rPr>
                <w:rFonts w:ascii="Arial" w:cs="Arial" w:eastAsia="Arial" w:hAnsi="Arial"/>
                <w:sz w:val="15"/>
                <w:szCs w:val="15"/>
                <w:b w:val="1"/>
                <w:bCs w:val="1"/>
                <w:color w:val="auto"/>
              </w:rPr>
              <w:t>For the years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12"/>
          </w:tcPr>
          <w:p>
            <w:pPr>
              <w:jc w:val="center"/>
              <w:ind w:right="200"/>
              <w:spacing w:after="0"/>
              <w:rPr>
                <w:sz w:val="20"/>
                <w:szCs w:val="20"/>
                <w:color w:val="auto"/>
              </w:rPr>
            </w:pPr>
            <w:r>
              <w:rPr>
                <w:rFonts w:ascii="Arial" w:cs="Arial" w:eastAsia="Arial" w:hAnsi="Arial"/>
                <w:sz w:val="15"/>
                <w:szCs w:val="15"/>
                <w:b w:val="1"/>
                <w:bCs w:val="1"/>
                <w:color w:val="auto"/>
              </w:rPr>
              <w:t>December 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11"/>
          </w:tcPr>
          <w:p>
            <w:pPr>
              <w:jc w:val="center"/>
              <w:ind w:right="20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GAAP net income</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434,607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292,161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1,272,817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1,007,145</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gridSpan w:val="2"/>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9,353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32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Tax effect of transaction expenses related to the acquisition of</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5"/>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5"/>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(2,410)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Miller Electric</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5"/>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5"/>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3"/>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32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gridSpan w:val="2"/>
          </w:tcPr>
          <w:p>
            <w:pPr>
              <w:ind w:left="20"/>
              <w:spacing w:after="0"/>
              <w:rPr>
                <w:sz w:val="20"/>
                <w:szCs w:val="20"/>
                <w:color w:val="auto"/>
              </w:rPr>
            </w:pPr>
            <w:r>
              <w:rPr>
                <w:rFonts w:ascii="Arial" w:cs="Arial" w:eastAsia="Arial" w:hAnsi="Arial"/>
                <w:sz w:val="16"/>
                <w:szCs w:val="16"/>
                <w:color w:val="auto"/>
              </w:rPr>
              <w:t>Transaction expenses related to the sale of United Kingdom operations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10,675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of transaction expenses related to the sale of United Kingdom operations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gridSpan w:val="2"/>
          </w:tcPr>
          <w:p>
            <w:pPr>
              <w:ind w:left="20"/>
              <w:spacing w:after="0"/>
              <w:rPr>
                <w:sz w:val="20"/>
                <w:szCs w:val="20"/>
                <w:color w:val="auto"/>
              </w:rPr>
            </w:pPr>
            <w:r>
              <w:rPr>
                <w:rFonts w:ascii="Arial" w:cs="Arial" w:eastAsia="Arial" w:hAnsi="Arial"/>
                <w:sz w:val="16"/>
                <w:szCs w:val="16"/>
                <w:color w:val="auto"/>
              </w:rPr>
              <w:t>Gain on sale of United Kingdom operations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(144,876)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6"/>
                <w:szCs w:val="16"/>
                <w:color w:val="auto"/>
              </w:rPr>
              <w:t>(144,876)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of gain on sale of United Kingdom operations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25,142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tcPr>
          <w:p>
            <w:pPr>
              <w:ind w:left="20"/>
              <w:spacing w:after="0"/>
              <w:rPr>
                <w:sz w:val="20"/>
                <w:szCs w:val="20"/>
                <w:color w:val="auto"/>
              </w:rPr>
            </w:pPr>
            <w:r>
              <w:rPr>
                <w:rFonts w:ascii="Arial" w:cs="Arial" w:eastAsia="Arial" w:hAnsi="Arial"/>
                <w:sz w:val="16"/>
                <w:szCs w:val="16"/>
                <w:color w:val="auto"/>
              </w:rPr>
              <w:t>Non-GAAP net income</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322,750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292,161</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1,167,903</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1,007,145</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2"/>
          </w:tcPr>
          <w:p>
            <w:pPr>
              <w:jc w:val="center"/>
              <w:ind w:right="200"/>
              <w:spacing w:after="0"/>
              <w:rPr>
                <w:sz w:val="20"/>
                <w:szCs w:val="20"/>
                <w:color w:val="auto"/>
              </w:rPr>
            </w:pPr>
            <w:r>
              <w:rPr>
                <w:rFonts w:ascii="Arial" w:cs="Arial" w:eastAsia="Arial" w:hAnsi="Arial"/>
                <w:sz w:val="15"/>
                <w:szCs w:val="15"/>
                <w:b w:val="1"/>
                <w:bCs w:val="1"/>
                <w:color w:val="auto"/>
              </w:rPr>
              <w:t>For the quarters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11"/>
          </w:tcPr>
          <w:p>
            <w:pPr>
              <w:jc w:val="center"/>
              <w:ind w:right="220"/>
              <w:spacing w:after="0"/>
              <w:rPr>
                <w:sz w:val="20"/>
                <w:szCs w:val="20"/>
                <w:color w:val="auto"/>
              </w:rPr>
            </w:pPr>
            <w:r>
              <w:rPr>
                <w:rFonts w:ascii="Arial" w:cs="Arial" w:eastAsia="Arial" w:hAnsi="Arial"/>
                <w:sz w:val="15"/>
                <w:szCs w:val="15"/>
                <w:b w:val="1"/>
                <w:bCs w:val="1"/>
                <w:color w:val="auto"/>
              </w:rPr>
              <w:t>For the years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12"/>
          </w:tcPr>
          <w:p>
            <w:pPr>
              <w:jc w:val="center"/>
              <w:ind w:right="180"/>
              <w:spacing w:after="0"/>
              <w:rPr>
                <w:sz w:val="20"/>
                <w:szCs w:val="20"/>
                <w:color w:val="auto"/>
              </w:rPr>
            </w:pPr>
            <w:r>
              <w:rPr>
                <w:rFonts w:ascii="Arial" w:cs="Arial" w:eastAsia="Arial" w:hAnsi="Arial"/>
                <w:sz w:val="15"/>
                <w:szCs w:val="15"/>
                <w:b w:val="1"/>
                <w:bCs w:val="1"/>
                <w:color w:val="auto"/>
              </w:rPr>
              <w:t>December 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11"/>
          </w:tcPr>
          <w:p>
            <w:pPr>
              <w:jc w:val="center"/>
              <w:ind w:right="24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GAAP diluted earnings per common share</w:t>
            </w:r>
          </w:p>
        </w:tc>
        <w:tc>
          <w:tcPr>
            <w:tcW w:w="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gridSpan w:val="2"/>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gridSpan w:val="4"/>
          </w:tcPr>
          <w:p>
            <w:pPr>
              <w:jc w:val="right"/>
              <w:ind w:right="14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32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Tax effect of transaction expenses related to the acquisition of</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5"/>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Miller Electric</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gridSpan w:val="4"/>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5"/>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4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32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40" w:type="dxa"/>
            <w:vAlign w:val="bottom"/>
            <w:tcBorders>
              <w:left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gridSpan w:val="2"/>
          </w:tcPr>
          <w:p>
            <w:pPr>
              <w:ind w:left="20"/>
              <w:spacing w:after="0"/>
              <w:rPr>
                <w:sz w:val="20"/>
                <w:szCs w:val="20"/>
                <w:color w:val="auto"/>
              </w:rPr>
            </w:pPr>
            <w:r>
              <w:rPr>
                <w:rFonts w:ascii="Arial" w:cs="Arial" w:eastAsia="Arial" w:hAnsi="Arial"/>
                <w:sz w:val="16"/>
                <w:szCs w:val="16"/>
                <w:color w:val="auto"/>
              </w:rPr>
              <w:t>Transaction expenses related to the sale of United Kingdom operations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of transaction expenses related to the sale of United Kingdom operations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gridSpan w:val="2"/>
          </w:tcPr>
          <w:p>
            <w:pPr>
              <w:ind w:left="20"/>
              <w:spacing w:after="0"/>
              <w:rPr>
                <w:sz w:val="20"/>
                <w:szCs w:val="20"/>
                <w:color w:val="auto"/>
              </w:rPr>
            </w:pPr>
            <w:r>
              <w:rPr>
                <w:rFonts w:ascii="Arial" w:cs="Arial" w:eastAsia="Arial" w:hAnsi="Arial"/>
                <w:sz w:val="16"/>
                <w:szCs w:val="16"/>
                <w:color w:val="auto"/>
              </w:rPr>
              <w:t>Gain on sale of United Kingdom operations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of gain on sale of United Kingdom operations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20"/>
              <w:spacing w:after="0"/>
              <w:rPr>
                <w:sz w:val="20"/>
                <w:szCs w:val="20"/>
                <w:color w:val="auto"/>
              </w:rPr>
            </w:pPr>
            <w:r>
              <w:rPr>
                <w:rFonts w:ascii="Arial" w:cs="Arial" w:eastAsia="Arial" w:hAnsi="Arial"/>
                <w:sz w:val="16"/>
                <w:szCs w:val="16"/>
                <w:color w:val="auto"/>
              </w:rPr>
              <w:t>Non-GAAP diluted earnings per common share</w:t>
            </w:r>
          </w:p>
        </w:tc>
        <w:tc>
          <w:tcPr>
            <w:tcW w:w="1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7.19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Amounts presented in this table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2026-02-26T08:38:06Z</dcterms:created>
  <dcterms:modified xsi:type="dcterms:W3CDTF">2026-02-26T08:38:06Z</dcterms:modified>
</cp:coreProperties>
</file>