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20" w:type="dxa"/>
        <w:jc w:val="center"/>
        <w:tblInd w:w="0" w:type="dxa"/>
        <w:tblLayout w:type="fixed"/>
        <w:tblCellMar>
          <w:top w:w="28" w:type="dxa"/>
          <w:left w:w="28" w:type="dxa"/>
          <w:bottom w:w="28" w:type="dxa"/>
          <w:right w:w="28" w:type="dxa"/>
        </w:tblCellMar>
      </w:tblPr>
      <w:tblGrid>
        <w:gridCol w:w="364"/>
        <w:gridCol w:w="320"/>
        <w:gridCol w:w="322"/>
        <w:gridCol w:w="179"/>
        <w:gridCol w:w="179"/>
        <w:gridCol w:w="25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6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8-K</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w:t>
      </w:r>
      <w:r>
        <w:rPr>
          <w:rFonts w:ascii="Times New Roman;serif" w:hAnsi="Times New Roman;serif"/>
          <w:b/>
          <w:color w:val="000000"/>
          <w:sz w:val="20"/>
        </w:rPr>
        <w:t xml:space="preserve">July 28,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EMCOR Group,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696" w:type="dxa"/>
        <w:jc w:val="center"/>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1-8267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11-2125338</w:t>
            </w:r>
          </w:p>
        </w:tc>
      </w:tr>
      <w:tr>
        <w:trPr/>
        <w:tc>
          <w:tcPr>
            <w:tcW w:w="3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839" w:type="dxa"/>
        <w:jc w:val="center"/>
        <w:tblInd w:w="0" w:type="dxa"/>
        <w:tblLayout w:type="fixed"/>
        <w:tblCellMar>
          <w:top w:w="28" w:type="dxa"/>
          <w:left w:w="28" w:type="dxa"/>
          <w:bottom w:w="28" w:type="dxa"/>
          <w:right w:w="28" w:type="dxa"/>
        </w:tblCellMar>
      </w:tblPr>
      <w:tblGrid>
        <w:gridCol w:w="544"/>
        <w:gridCol w:w="477"/>
        <w:gridCol w:w="481"/>
        <w:gridCol w:w="615"/>
        <w:gridCol w:w="615"/>
        <w:gridCol w:w="626"/>
        <w:gridCol w:w="109"/>
        <w:gridCol w:w="109"/>
        <w:gridCol w:w="109"/>
        <w:gridCol w:w="337"/>
        <w:gridCol w:w="337"/>
        <w:gridCol w:w="480"/>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 Merritt Seven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Norwalk,</w:t>
            </w:r>
          </w:p>
        </w:tc>
        <w:tc>
          <w:tcPr>
            <w:tcW w:w="1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06851-1092</w:t>
            </w:r>
          </w:p>
        </w:tc>
      </w:tr>
      <w:tr>
        <w:trPr/>
        <w:tc>
          <w:tcPr>
            <w:tcW w:w="335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4649" w:type="dxa"/>
        <w:jc w:val="center"/>
        <w:tblInd w:w="0" w:type="dxa"/>
        <w:tblLayout w:type="fixed"/>
        <w:tblCellMar>
          <w:top w:w="28" w:type="dxa"/>
          <w:left w:w="28" w:type="dxa"/>
          <w:bottom w:w="28" w:type="dxa"/>
          <w:right w:w="28" w:type="dxa"/>
        </w:tblCellMar>
      </w:tblPr>
      <w:tblGrid>
        <w:gridCol w:w="620"/>
        <w:gridCol w:w="549"/>
        <w:gridCol w:w="552"/>
        <w:gridCol w:w="856"/>
        <w:gridCol w:w="856"/>
        <w:gridCol w:w="1216"/>
      </w:tblGrid>
      <w:tr>
        <w:trPr/>
        <w:tc>
          <w:tcPr>
            <w:tcW w:w="6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color w:val="000000"/>
                <w:sz w:val="20"/>
              </w:rPr>
            </w:pPr>
            <w:r>
              <w:rPr>
                <w:rFonts w:ascii="Times New Roman;serif" w:hAnsi="Times New Roman;serif"/>
                <w:b/>
                <w:color w:val="000000"/>
                <w:sz w:val="20"/>
              </w:rPr>
              <w:t>(203)</w:t>
            </w:r>
          </w:p>
        </w:tc>
        <w:tc>
          <w:tcPr>
            <w:tcW w:w="29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849-7800</w:t>
            </w:r>
          </w:p>
        </w:tc>
      </w:tr>
      <w:tr>
        <w:trPr/>
        <w:tc>
          <w:tcPr>
            <w:tcW w:w="464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both"/>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6952" w:type="dxa"/>
        <w:jc w:val="left"/>
        <w:tblInd w:w="0" w:type="dxa"/>
        <w:tblLayout w:type="fixed"/>
        <w:tblCellMar>
          <w:top w:w="28" w:type="dxa"/>
          <w:left w:w="28" w:type="dxa"/>
          <w:bottom w:w="28" w:type="dxa"/>
          <w:right w:w="28" w:type="dxa"/>
        </w:tblCellMar>
      </w:tblPr>
      <w:tblGrid>
        <w:gridCol w:w="526"/>
        <w:gridCol w:w="463"/>
        <w:gridCol w:w="466"/>
        <w:gridCol w:w="109"/>
        <w:gridCol w:w="109"/>
        <w:gridCol w:w="109"/>
        <w:gridCol w:w="454"/>
        <w:gridCol w:w="454"/>
        <w:gridCol w:w="456"/>
        <w:gridCol w:w="109"/>
        <w:gridCol w:w="109"/>
        <w:gridCol w:w="109"/>
        <w:gridCol w:w="1019"/>
        <w:gridCol w:w="1019"/>
        <w:gridCol w:w="1441"/>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tbl>
      <w:tblPr>
        <w:tblW w:w="2697" w:type="dxa"/>
        <w:jc w:val="center"/>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1.04 Mine Safety – Reporting of Shutdowns and Patterns of Violations.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28, 2026, the U.S. Department of Labor’s Mine Safety and Health Administration (“MSHA”) issued to MOR PPM, Inc. (“MOR PPM”), a wholly-owned, indirect subsidiary of EMCOR Group, Inc. (the “Company”), an imminent danger order (the “Order”) under Section 107(a) of the Federal Mine Safety and Health Act of 1977, as amended, at the Sivells Bend mine in Cooke County, Texas. The Order was issued after an MSHA inspector observed a MOR PPM worker welding approximately 25 feet above ground on a platform to install stairs that were being lifted by an extended-boom forklift. There were no injuries.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9288" w:type="dxa"/>
        <w:jc w:val="left"/>
        <w:tblInd w:w="0" w:type="dxa"/>
        <w:tblLayout w:type="fixed"/>
        <w:tblCellMar>
          <w:top w:w="28" w:type="dxa"/>
          <w:left w:w="28" w:type="dxa"/>
          <w:bottom w:w="28" w:type="dxa"/>
          <w:right w:w="28" w:type="dxa"/>
        </w:tblCellMar>
      </w:tblPr>
      <w:tblGrid>
        <w:gridCol w:w="618"/>
        <w:gridCol w:w="544"/>
        <w:gridCol w:w="548"/>
        <w:gridCol w:w="307"/>
        <w:gridCol w:w="307"/>
        <w:gridCol w:w="307"/>
        <w:gridCol w:w="2087"/>
        <w:gridCol w:w="2087"/>
        <w:gridCol w:w="2111"/>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EMCOR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MAXINE L. MAURICIO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Maxine L. Mauricio</w:t>
            </w:r>
          </w:p>
        </w:tc>
        <w:tc>
          <w:tcPr>
            <w:tcW w:w="372"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Administrative Officer and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454</Words>
  <Characters>2470</Characters>
  <CharactersWithSpaces>2872</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