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Altmeyer John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1330 SAXTON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MECHANICSBURG PA</w:t>
            </w: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7"/>
                <w:szCs w:val="17"/>
                <w:color w:val="0000FF"/>
              </w:rPr>
              <w:t>17055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00"/>
              <w:spacing w:after="0"/>
              <w:rPr>
                <w:sz w:val="20"/>
                <w:szCs w:val="20"/>
                <w:color w:val="auto"/>
              </w:rPr>
            </w:pPr>
            <w:r>
              <w:rPr>
                <w:rFonts w:ascii="Arial" w:cs="Arial" w:eastAsia="Arial" w:hAnsi="Arial"/>
                <w:sz w:val="13"/>
                <w:szCs w:val="13"/>
                <w:color w:val="auto"/>
              </w:rPr>
              <w:t>(State)</w:t>
            </w:r>
          </w:p>
        </w:tc>
        <w:tc>
          <w:tcPr>
            <w:tcW w:w="154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36,116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April 30, 2026. The RSUs issued on April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3846"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2026-05-01T09:49:13Z</dcterms:created>
  <dcterms:modified xsi:type="dcterms:W3CDTF">2026-05-01T09:49:13Z</dcterms:modified>
</cp:coreProperties>
</file>