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Mauricio Maxine Lum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07/31/2025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CAO, EVP &amp;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07/31/2025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3</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27,403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July 31, 2025. The RSUs issued on July 31,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Jarrett R. Szeftel, Attorney-in- </w:t>
      </w:r>
      <w:r>
        <w:rPr>
          <w:rFonts w:ascii="Times New Roman" w:cs="Times New Roman" w:eastAsia="Times New Roman" w:hAnsi="Times New Roman"/>
          <w:sz w:val="34"/>
          <w:szCs w:val="34"/>
          <w:color w:val="0000FF"/>
          <w:vertAlign w:val="subscript"/>
        </w:rPr>
        <w:t>08/01/2025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11"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2025-08-01T10:10:48Z</dcterms:created>
  <dcterms:modified xsi:type="dcterms:W3CDTF">2025-08-01T10:10:48Z</dcterms:modified>
</cp:coreProperties>
</file>