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Lind Robert Peter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 MARLIN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SANDY HOOK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06482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EMCOR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EME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 and Controller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06/06/2025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2"/>
        <w:gridCol w:w="902"/>
        <w:gridCol w:w="771"/>
        <w:gridCol w:w="599"/>
        <w:gridCol w:w="347"/>
        <w:gridCol w:w="799"/>
        <w:gridCol w:w="452"/>
        <w:gridCol w:w="838"/>
        <w:gridCol w:w="1232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8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06/06/2025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447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485.37</w:t>
            </w:r>
            <w:r>
              <w:rPr/>
              <w:t xml:space="preserve"> </w:t>
            </w:r>
          </w:p>
        </w:tc>
        <w:tc>
          <w:tcPr>
            <w:tcW w:w="12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5,046.32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shares issuable in respect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Maxine L. Mauricio,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06/09/2025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00524" TargetMode="External"/><Relationship Id="rId5" Type="http://schemas.openxmlformats.org/officeDocument/2006/relationships/hyperlink" Target="http://www.sec.gov/cgi-bin/browse-edgar?action=getcompany&amp;CIK=000010563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570</Words>
  <Characters>3097</Characters>
  <CharactersWithSpaces>3608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