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Guzzi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NORWALK</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06851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03/05/2026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115"/>
              <w:spacing w:after="0"/>
              <w:rPr>
                <w:sz w:val="20"/>
                <w:szCs w:val="20"/>
                <w:color w:val="auto"/>
              </w:rPr>
            </w:pPr>
            <w:r>
              <w:rPr>
                <w:rFonts w:ascii="Times New Roman" w:cs="Times New Roman" w:eastAsia="Times New Roman" w:hAnsi="Times New Roman"/>
                <w:sz w:val="17"/>
                <w:szCs w:val="17"/>
                <w:color w:val="0000FF"/>
              </w:rPr>
              <w:t>36,000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729.48</w:t>
            </w:r>
            <w:r>
              <w:rPr>
                <w:rFonts w:ascii="Times New Roman" w:cs="Times New Roman" w:eastAsia="Times New Roman" w:hAnsi="Times New Roman"/>
                <w:sz w:val="22"/>
                <w:szCs w:val="22"/>
                <w:color w:val="008000"/>
                <w:w w:val="92"/>
                <w:vertAlign w:val="superscript"/>
              </w:rPr>
              <w:t>(2)</w:t>
            </w:r>
          </w:p>
        </w:tc>
        <w:tc>
          <w:tcPr>
            <w:tcW w:w="1240" w:type="dxa"/>
            <w:vAlign w:val="bottom"/>
            <w:tcBorders>
              <w:bottom w:val="single" w:sz="8" w:color="2C2C2C"/>
            </w:tcBorders>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rPr>
              <w:t>170,299</w:t>
            </w:r>
            <w:r>
              <w:rPr>
                <w:rFonts w:ascii="Times New Roman" w:cs="Times New Roman" w:eastAsia="Times New Roman" w:hAnsi="Times New Roman"/>
                <w:sz w:val="22"/>
                <w:szCs w:val="22"/>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Guzzi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80"/>
              <w:spacing w:after="0" w:line="213" w:lineRule="exact"/>
              <w:rPr>
                <w:sz w:val="20"/>
                <w:szCs w:val="20"/>
                <w:color w:val="auto"/>
              </w:rPr>
            </w:pPr>
            <w:r>
              <w:rPr>
                <w:rFonts w:ascii="Times New Roman" w:cs="Times New Roman" w:eastAsia="Times New Roman" w:hAnsi="Times New Roman"/>
                <w:sz w:val="17"/>
                <w:szCs w:val="17"/>
                <w:color w:val="0000FF"/>
              </w:rPr>
              <w:t>5,790</w:t>
            </w:r>
            <w:r>
              <w:rPr>
                <w:rFonts w:ascii="Times New Roman" w:cs="Times New Roman" w:eastAsia="Times New Roman" w:hAnsi="Times New Roman"/>
                <w:sz w:val="22"/>
                <w:szCs w:val="22"/>
                <w:color w:val="008000"/>
                <w:vertAlign w:val="superscript"/>
              </w:rPr>
              <w:t>(4)</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4"/>
          </w:tcPr>
          <w:p>
            <w:pPr>
              <w:spacing w:after="0"/>
              <w:rPr>
                <w:sz w:val="8"/>
                <w:szCs w:val="8"/>
                <w:color w:val="auto"/>
              </w:rPr>
            </w:pPr>
          </w:p>
        </w:tc>
        <w:tc>
          <w:tcPr>
            <w:tcW w:w="27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dated as of December 2, 2025 and effective as of March 5,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of all the shares sold on March 5, 2026. The shares were sold at an average price of $729.48, at varying prices in the range of $705.55 to $735.36. The Reporting person undertakes, upon request by the Staff of the Securities and Exchange Commission, the Issuer, or a security holder of the Issuer, to provide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restricted stock units.</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transferred by the reporting person as a gift to the Guzzi Family Irrevocable Trust (the "Trust") for the benefit of the reporting person's children. The reporting person's spouse is trustee of the Trust. Such transfer was reported on a previously filed Form 4. The reporting person disclaims beneficial ownership of such securities.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6045"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2026-03-09T15:59:52Z</dcterms:created>
  <dcterms:modified xsi:type="dcterms:W3CDTF">2026-03-09T15:59:52Z</dcterms:modified>
</cp:coreProperties>
</file>