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7"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3020060</wp:posOffset>
            </wp:positionH>
            <wp:positionV relativeFrom="paragraph">
              <wp:posOffset>21590</wp:posOffset>
            </wp:positionV>
            <wp:extent cx="1102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2995" cy="825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-161290</wp:posOffset>
            </wp:positionV>
            <wp:extent cx="1102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50" w:lineRule="exact"/>
        <w:rPr>
          <w:sz w:val="24"/>
          <w:szCs w:val="24"/>
          <w:color w:val="auto"/>
        </w:rPr>
      </w:pPr>
    </w:p>
    <w:p>
      <w:pPr>
        <w:ind w:left="1300" w:hanging="1051"/>
        <w:spacing w:after="0"/>
        <w:tabs>
          <w:tab w:leader="none" w:pos="1300" w:val="left"/>
        </w:tabs>
        <w:numPr>
          <w:ilvl w:val="0"/>
          <w:numId w:val="1"/>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color w:val="auto"/>
        </w:rPr>
        <w:t>QUARTERLY REPORT PURSUANT TO SECTION 13 OR 15(d) OF THE SECURITIES EXCHANGE ACT OF 1934</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39" w:lineRule="exact"/>
        <w:rPr>
          <w:sz w:val="24"/>
          <w:szCs w:val="24"/>
          <w:color w:val="auto"/>
        </w:rPr>
      </w:pPr>
    </w:p>
    <w:p>
      <w:pPr>
        <w:ind w:left="1300" w:hanging="1038"/>
        <w:spacing w:after="0"/>
        <w:tabs>
          <w:tab w:leader="none" w:pos="1300" w:val="left"/>
        </w:tabs>
        <w:numPr>
          <w:ilvl w:val="0"/>
          <w:numId w:val="2"/>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color w:val="auto"/>
        </w:rPr>
        <w:t>TRANSITION REPORT PURSUANT TO SECTION 13 OR 15(d) OF THE SECURITIES EXCHANGE ACT OF 1934</w:t>
      </w:r>
    </w:p>
    <w:p>
      <w:pPr>
        <w:spacing w:after="0" w:line="126" w:lineRule="exact"/>
        <w:rPr>
          <w:sz w:val="24"/>
          <w:szCs w:val="24"/>
          <w:color w:val="auto"/>
        </w:rPr>
      </w:pPr>
    </w:p>
    <w:p>
      <w:pPr>
        <w:ind w:left="384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1-8267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1407160</wp:posOffset>
            </wp:positionH>
            <wp:positionV relativeFrom="paragraph">
              <wp:posOffset>31750</wp:posOffset>
            </wp:positionV>
            <wp:extent cx="4336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36415" cy="825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EMCOR Group,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1407160</wp:posOffset>
            </wp:positionH>
            <wp:positionV relativeFrom="paragraph">
              <wp:posOffset>16510</wp:posOffset>
            </wp:positionV>
            <wp:extent cx="4336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36415" cy="8255"/>
                    </a:xfrm>
                    <a:prstGeom prst="rect">
                      <a:avLst/>
                    </a:prstGeom>
                    <a:noFill/>
                  </pic:spPr>
                </pic:pic>
              </a:graphicData>
            </a:graphic>
          </wp:anchor>
        </w:drawing>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3"/>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Borders>
              <w:bottom w:val="single" w:sz="8" w:color="auto"/>
            </w:tcBorders>
            <w:gridSpan w:val="3"/>
          </w:tcPr>
          <w:p>
            <w:pPr>
              <w:jc w:val="center"/>
              <w:ind w:left="1172"/>
              <w:spacing w:after="0"/>
              <w:rPr>
                <w:sz w:val="20"/>
                <w:szCs w:val="20"/>
                <w:color w:val="auto"/>
              </w:rPr>
            </w:pPr>
            <w:r>
              <w:rPr>
                <w:rFonts w:ascii="Times New Roman" w:cs="Times New Roman" w:eastAsia="Times New Roman" w:hAnsi="Times New Roman"/>
                <w:sz w:val="18"/>
                <w:szCs w:val="18"/>
                <w:b w:val="1"/>
                <w:bCs w:val="1"/>
                <w:color w:val="auto"/>
                <w:w w:val="96"/>
              </w:rPr>
              <w:t>11-2125338</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80" w:type="dxa"/>
            <w:vAlign w:val="bottom"/>
            <w:gridSpan w:val="3"/>
          </w:tcPr>
          <w:p>
            <w:pPr>
              <w:jc w:val="center"/>
              <w:ind w:left="132"/>
              <w:spacing w:after="0" w:line="172" w:lineRule="exact"/>
              <w:rPr>
                <w:sz w:val="20"/>
                <w:szCs w:val="20"/>
                <w:color w:val="auto"/>
              </w:rPr>
            </w:pPr>
            <w:r>
              <w:rPr>
                <w:rFonts w:ascii="Times New Roman" w:cs="Times New Roman" w:eastAsia="Times New Roman" w:hAnsi="Times New Roman"/>
                <w:sz w:val="18"/>
                <w:szCs w:val="18"/>
                <w:color w:val="auto"/>
                <w:w w:val="97"/>
              </w:rPr>
              <w:t>(State or Other Jurisdiction of</w:t>
            </w:r>
          </w:p>
        </w:tc>
        <w:tc>
          <w:tcPr>
            <w:tcW w:w="1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8"/>
                <w:szCs w:val="18"/>
                <w:color w:val="auto"/>
                <w:w w:val="97"/>
              </w:rPr>
              <w:t>(I.R.S. Employer</w:t>
            </w:r>
          </w:p>
        </w:tc>
        <w:tc>
          <w:tcPr>
            <w:tcW w:w="20" w:type="dxa"/>
            <w:vAlign w:val="bottom"/>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Identification Number)</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7"/>
              </w:rPr>
              <w:t>301 Merritt Seven</w:t>
            </w: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Norwalk, Connecticut</w:t>
            </w:r>
          </w:p>
        </w:tc>
        <w:tc>
          <w:tcPr>
            <w:tcW w:w="15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Borders>
              <w:bottom w:val="single" w:sz="8" w:color="auto"/>
            </w:tcBorders>
            <w:gridSpan w:val="3"/>
          </w:tcPr>
          <w:p>
            <w:pPr>
              <w:jc w:val="center"/>
              <w:ind w:left="1172"/>
              <w:spacing w:after="0"/>
              <w:rPr>
                <w:sz w:val="20"/>
                <w:szCs w:val="20"/>
                <w:color w:val="auto"/>
              </w:rPr>
            </w:pPr>
            <w:r>
              <w:rPr>
                <w:rFonts w:ascii="Times New Roman" w:cs="Times New Roman" w:eastAsia="Times New Roman" w:hAnsi="Times New Roman"/>
                <w:sz w:val="18"/>
                <w:szCs w:val="18"/>
                <w:b w:val="1"/>
                <w:bCs w:val="1"/>
                <w:color w:val="auto"/>
                <w:w w:val="96"/>
              </w:rPr>
              <w:t>06851-1092</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8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(Zip Code)</w:t>
            </w:r>
          </w:p>
        </w:tc>
        <w:tc>
          <w:tcPr>
            <w:tcW w:w="20" w:type="dxa"/>
            <w:vAlign w:val="bottom"/>
          </w:tcPr>
          <w:p>
            <w:pPr>
              <w:spacing w:after="0"/>
              <w:rPr>
                <w:sz w:val="19"/>
                <w:szCs w:val="19"/>
                <w:color w:val="auto"/>
              </w:rPr>
            </w:pPr>
          </w:p>
        </w:tc>
      </w:tr>
      <w:tr>
        <w:trPr>
          <w:trHeight w:val="508"/>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(203) 849-7800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40" w:type="dxa"/>
            <w:vAlign w:val="bottom"/>
            <w:gridSpan w:val="8"/>
          </w:tcPr>
          <w:p>
            <w:pPr>
              <w:ind w:left="23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1"/>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80" w:type="dxa"/>
            <w:vAlign w:val="bottom"/>
            <w:gridSpan w:val="3"/>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Trading Symbol</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c>
          <w:tcPr>
            <w:tcW w:w="2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tcPr>
          <w:p>
            <w:pPr>
              <w:jc w:val="center"/>
              <w:ind w:right="1192"/>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EME</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c>
          <w:tcPr>
            <w:tcW w:w="20" w:type="dxa"/>
            <w:vAlign w:val="bottom"/>
            <w:tcBorders>
              <w:top w:val="single" w:sz="8" w:color="auto"/>
            </w:tcBorders>
          </w:tcPr>
          <w:p>
            <w:pPr>
              <w:spacing w:after="0"/>
              <w:rPr>
                <w:sz w:val="19"/>
                <w:szCs w:val="19"/>
                <w:color w:val="auto"/>
              </w:rPr>
            </w:pPr>
          </w:p>
        </w:tc>
      </w:tr>
    </w:tbl>
    <w:p>
      <w:pPr>
        <w:spacing w:after="0" w:line="80" w:lineRule="exact"/>
        <w:rPr>
          <w:sz w:val="24"/>
          <w:szCs w:val="24"/>
          <w:color w:val="auto"/>
        </w:rPr>
      </w:pPr>
    </w:p>
    <w:p>
      <w:pPr>
        <w:jc w:val="both"/>
        <w:ind w:firstLine="434"/>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35" w:lineRule="exact"/>
        <w:rPr>
          <w:sz w:val="24"/>
          <w:szCs w:val="24"/>
          <w:color w:val="auto"/>
        </w:rPr>
      </w:pPr>
    </w:p>
    <w:p>
      <w:pPr>
        <w:jc w:val="both"/>
        <w:ind w:firstLine="434"/>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2" w:lineRule="exact"/>
        <w:rPr>
          <w:sz w:val="24"/>
          <w:szCs w:val="24"/>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52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5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52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95"/>
        </w:trPr>
        <w:tc>
          <w:tcPr>
            <w:tcW w:w="1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2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86" w:lineRule="exact"/>
        <w:rPr>
          <w:sz w:val="24"/>
          <w:szCs w:val="24"/>
          <w:color w:val="auto"/>
        </w:rPr>
      </w:pPr>
    </w:p>
    <w:p>
      <w:pPr>
        <w:ind w:firstLine="434"/>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 w:lineRule="exact"/>
        <w:rPr>
          <w:sz w:val="24"/>
          <w:szCs w:val="24"/>
          <w:color w:val="auto"/>
        </w:rPr>
      </w:pPr>
    </w:p>
    <w:p>
      <w:pPr>
        <w:ind w:left="440"/>
        <w:spacing w:after="0" w:line="207" w:lineRule="exact"/>
        <w:tabs>
          <w:tab w:leader="none" w:pos="91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highlight w:val="black"/>
        </w:rPr>
        <w:t>☒</w:t>
      </w:r>
    </w:p>
    <w:p>
      <w:pPr>
        <w:spacing w:after="0" w:line="10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u w:val="single" w:color="auto"/>
          <w:color w:val="auto"/>
        </w:rPr>
        <w:t>Applicable Only To Corporate Issuers</w:t>
      </w:r>
    </w:p>
    <w:p>
      <w:pPr>
        <w:spacing w:after="0" w:line="7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Number of shares of Common Stock outstanding as of the close of business on July 25, 2025: 44,764,250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544195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694690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2"/>
              </w:rPr>
              <w:t>PAGE</w:t>
            </w:r>
          </w:p>
        </w:tc>
      </w:tr>
      <w:tr>
        <w:trPr>
          <w:trHeight w:val="217"/>
        </w:trPr>
        <w:tc>
          <w:tcPr>
            <w:tcW w:w="20" w:type="dxa"/>
            <w:vAlign w:val="bottom"/>
          </w:tcPr>
          <w:p>
            <w:pPr>
              <w:spacing w:after="0"/>
              <w:rPr>
                <w:sz w:val="18"/>
                <w:szCs w:val="18"/>
                <w:color w:val="auto"/>
              </w:rPr>
            </w:pPr>
          </w:p>
        </w:tc>
        <w:tc>
          <w:tcPr>
            <w:tcW w:w="108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920" w:type="dxa"/>
            <w:vAlign w:val="bottom"/>
            <w:tcBorders>
              <w:top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top w:val="single" w:sz="8" w:color="0000FF"/>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96"/>
              </w:rPr>
              <w:t>Financial Statements.</w:t>
            </w:r>
          </w:p>
        </w:tc>
        <w:tc>
          <w:tcPr>
            <w:tcW w:w="20" w:type="dxa"/>
            <w:vAlign w:val="bottom"/>
            <w:tcBorders>
              <w:top w:val="single" w:sz="8" w:color="0000FF"/>
            </w:tcBorders>
          </w:tcPr>
          <w:p>
            <w:pPr>
              <w:spacing w:after="0"/>
              <w:rPr>
                <w:sz w:val="17"/>
                <w:szCs w:val="17"/>
                <w:color w:val="auto"/>
              </w:rPr>
            </w:pPr>
          </w:p>
        </w:tc>
        <w:tc>
          <w:tcPr>
            <w:tcW w:w="836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0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Consolidated Balance Sheets - as of June 30, 2025 and December 31, 2024</w:t>
            </w:r>
          </w:p>
        </w:tc>
        <w:tc>
          <w:tcPr>
            <w:tcW w:w="4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0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Condensed Consolidated Statements of Operations - three and six months ended June 30, 2025 and 2024</w:t>
            </w:r>
          </w:p>
        </w:tc>
        <w:tc>
          <w:tcPr>
            <w:tcW w:w="4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0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 three and six months ended June 30, 2025 and 2024</w:t>
            </w:r>
          </w:p>
        </w:tc>
        <w:tc>
          <w:tcPr>
            <w:tcW w:w="4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72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7"/>
              </w:rPr>
              <w:t>Condensed Consolidated Statements of Cash Flows - six months ended June 30, 2025 and 2024</w:t>
            </w:r>
          </w:p>
        </w:tc>
        <w:tc>
          <w:tcPr>
            <w:tcW w:w="152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4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72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rPr>
              <w:t>Condensed Consolidated Statements of Equity - three months ended June 30, 2025 and 2024</w:t>
            </w:r>
          </w:p>
        </w:tc>
        <w:tc>
          <w:tcPr>
            <w:tcW w:w="3180" w:type="dxa"/>
            <w:vAlign w:val="bottom"/>
            <w:gridSpan w:val="3"/>
          </w:tcPr>
          <w:p>
            <w:pPr>
              <w:spacing w:after="0"/>
              <w:rPr>
                <w:sz w:val="17"/>
                <w:szCs w:val="17"/>
                <w:color w:val="auto"/>
              </w:rPr>
            </w:pPr>
          </w:p>
        </w:tc>
        <w:tc>
          <w:tcPr>
            <w:tcW w:w="4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60" w:type="dxa"/>
            <w:vAlign w:val="bottom"/>
            <w:gridSpan w:val="11"/>
          </w:tcPr>
          <w:p>
            <w:pPr>
              <w:spacing w:after="0" w:line="204" w:lineRule="exact"/>
              <w:rPr>
                <w:sz w:val="20"/>
                <w:szCs w:val="20"/>
                <w:color w:val="auto"/>
              </w:rPr>
            </w:pPr>
            <w:r>
              <w:rPr>
                <w:rFonts w:ascii="Times New Roman" w:cs="Times New Roman" w:eastAsia="Times New Roman" w:hAnsi="Times New Roman"/>
                <w:sz w:val="18"/>
                <w:szCs w:val="18"/>
                <w:color w:val="0000FF"/>
                <w:w w:val="96"/>
              </w:rPr>
              <w:t>Condensed Consolidated Statements of Equity - six months ended June 30, 2025 and 2024</w:t>
            </w:r>
          </w:p>
        </w:tc>
        <w:tc>
          <w:tcPr>
            <w:tcW w:w="140" w:type="dxa"/>
            <w:vAlign w:val="bottom"/>
          </w:tcPr>
          <w:p>
            <w:pPr>
              <w:spacing w:after="0"/>
              <w:rPr>
                <w:sz w:val="17"/>
                <w:szCs w:val="17"/>
                <w:color w:val="auto"/>
              </w:rPr>
            </w:pPr>
          </w:p>
        </w:tc>
        <w:tc>
          <w:tcPr>
            <w:tcW w:w="3400" w:type="dxa"/>
            <w:vAlign w:val="bottom"/>
            <w:gridSpan w:val="4"/>
          </w:tcPr>
          <w:p>
            <w:pPr>
              <w:spacing w:after="0"/>
              <w:rPr>
                <w:sz w:val="17"/>
                <w:szCs w:val="17"/>
                <w:color w:val="auto"/>
              </w:rPr>
            </w:pPr>
          </w:p>
        </w:tc>
        <w:tc>
          <w:tcPr>
            <w:tcW w:w="4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8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280" w:type="dxa"/>
            <w:vAlign w:val="bottom"/>
            <w:gridSpan w:val="4"/>
          </w:tcPr>
          <w:p>
            <w:pPr>
              <w:spacing w:after="0"/>
              <w:rPr>
                <w:sz w:val="17"/>
                <w:szCs w:val="17"/>
                <w:color w:val="auto"/>
              </w:rPr>
            </w:pPr>
          </w:p>
        </w:tc>
        <w:tc>
          <w:tcPr>
            <w:tcW w:w="3540" w:type="dxa"/>
            <w:vAlign w:val="bottom"/>
            <w:gridSpan w:val="5"/>
          </w:tcPr>
          <w:p>
            <w:pPr>
              <w:spacing w:after="0"/>
              <w:rPr>
                <w:sz w:val="17"/>
                <w:szCs w:val="17"/>
                <w:color w:val="auto"/>
              </w:rPr>
            </w:pPr>
          </w:p>
        </w:tc>
        <w:tc>
          <w:tcPr>
            <w:tcW w:w="4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3.</w:t>
            </w:r>
          </w:p>
        </w:tc>
        <w:tc>
          <w:tcPr>
            <w:tcW w:w="6360" w:type="dxa"/>
            <w:vAlign w:val="bottom"/>
            <w:tcBorders>
              <w:top w:val="single" w:sz="8" w:color="0000FF"/>
            </w:tcBorders>
            <w:gridSpan w:val="11"/>
          </w:tcPr>
          <w:p>
            <w:pPr>
              <w:spacing w:after="0" w:line="204"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54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6"/>
              </w:rPr>
              <w:t>Controls and Procedures.</w:t>
            </w:r>
          </w:p>
        </w:tc>
        <w:tc>
          <w:tcPr>
            <w:tcW w:w="2460" w:type="dxa"/>
            <w:vAlign w:val="bottom"/>
            <w:tcBorders>
              <w:top w:val="single" w:sz="8" w:color="0000FF"/>
            </w:tcBorders>
            <w:gridSpan w:val="2"/>
          </w:tcPr>
          <w:p>
            <w:pPr>
              <w:spacing w:after="0"/>
              <w:rPr>
                <w:sz w:val="17"/>
                <w:szCs w:val="17"/>
                <w:color w:val="auto"/>
              </w:rPr>
            </w:pPr>
          </w:p>
        </w:tc>
        <w:tc>
          <w:tcPr>
            <w:tcW w:w="566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082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20" w:type="dxa"/>
            <w:vAlign w:val="bottom"/>
            <w:tcBorders>
              <w:top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auto"/>
              </w:rPr>
              <w:t>Item 1.</w:t>
            </w:r>
          </w:p>
        </w:tc>
        <w:tc>
          <w:tcPr>
            <w:tcW w:w="1360" w:type="dxa"/>
            <w:vAlign w:val="bottom"/>
            <w:tcBorders>
              <w:top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7"/>
              </w:rPr>
              <w:t>Legal Proceedings.</w:t>
            </w:r>
          </w:p>
        </w:tc>
        <w:tc>
          <w:tcPr>
            <w:tcW w:w="8540" w:type="dxa"/>
            <w:vAlign w:val="bottom"/>
            <w:gridSpan w:val="13"/>
          </w:tcPr>
          <w:p>
            <w:pPr>
              <w:spacing w:after="0"/>
              <w:rPr>
                <w:sz w:val="17"/>
                <w:szCs w:val="17"/>
                <w:color w:val="auto"/>
              </w:rPr>
            </w:pPr>
          </w:p>
        </w:tc>
        <w:tc>
          <w:tcPr>
            <w:tcW w:w="3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562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6"/>
              </w:rPr>
              <w:t>Mine Safety Disclosures.</w:t>
            </w:r>
          </w:p>
        </w:tc>
        <w:tc>
          <w:tcPr>
            <w:tcW w:w="2500" w:type="dxa"/>
            <w:vAlign w:val="bottom"/>
            <w:tcBorders>
              <w:top w:val="single" w:sz="8" w:color="0000FF"/>
            </w:tcBorders>
            <w:gridSpan w:val="3"/>
          </w:tcPr>
          <w:p>
            <w:pPr>
              <w:spacing w:after="0"/>
              <w:rPr>
                <w:sz w:val="17"/>
                <w:szCs w:val="17"/>
                <w:color w:val="auto"/>
              </w:rPr>
            </w:pPr>
          </w:p>
        </w:tc>
        <w:tc>
          <w:tcPr>
            <w:tcW w:w="562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5.</w:t>
            </w:r>
          </w:p>
        </w:tc>
        <w:tc>
          <w:tcPr>
            <w:tcW w:w="990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Other Information.</w:t>
            </w:r>
          </w:p>
        </w:tc>
        <w:tc>
          <w:tcPr>
            <w:tcW w:w="3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6.</w:t>
            </w:r>
          </w:p>
        </w:tc>
        <w:tc>
          <w:tcPr>
            <w:tcW w:w="1340" w:type="dxa"/>
            <w:vAlign w:val="bottom"/>
            <w:tcBorders>
              <w:top w:val="single" w:sz="8" w:color="0000FF"/>
            </w:tcBorders>
            <w:gridSpan w:val="2"/>
          </w:tcPr>
          <w:p>
            <w:pPr>
              <w:spacing w:after="0" w:line="204" w:lineRule="exact"/>
              <w:rPr>
                <w:sz w:val="20"/>
                <w:szCs w:val="20"/>
                <w:color w:val="auto"/>
              </w:rPr>
            </w:pPr>
            <w:r>
              <w:rPr>
                <w:rFonts w:ascii="Times New Roman" w:cs="Times New Roman" w:eastAsia="Times New Roman" w:hAnsi="Times New Roman"/>
                <w:sz w:val="18"/>
                <w:szCs w:val="18"/>
                <w:color w:val="0000FF"/>
              </w:rPr>
              <w:t>Exhibits.</w:t>
            </w:r>
          </w:p>
        </w:tc>
        <w:tc>
          <w:tcPr>
            <w:tcW w:w="856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7"/>
                <w:szCs w:val="17"/>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50"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This report contains forward-looking statements. You can identify these statements by the fact that they do not relate strictly to historical or current facts. They generally contain words such as “anticipate,” “estimate,” “expect,” “project,” “intend,” “plan,” “believe,” “may,” “can,” “could,” “might,” variations of such wording and other words or phrases of similar meaning. Forward-looking statements in this report include discussions of our future operating or financial performance and other forward-looking commentary regarding aspects of our business, including market share growth, gross profit, remaining performance obligations, project mix, projects with varying profit margins and contractual terms, the financial impact of acquisitions, selling, general and administrative expenses, our ability to maintain a strong safety record, and trends in our business, and other characterizations of future events or circumstances, such as the effects of supply chain disruptions and delays, including those potentially caused by tariffs. Each forward-looking statement included in this report is subject to risks and uncertainties, including those identified in the “Management’s Discussion and Analysis of Financial Condition and Results of Operations” section, and other sections of this report, and in our Form 10-K for the year ended December 31, 2024, including, without limitation, the “Risk Factors” section of such Form 10-K. Applicable risks and uncertainties include, but are not limited to:</w:t>
      </w:r>
    </w:p>
    <w:p>
      <w:pPr>
        <w:spacing w:after="0" w:line="89" w:lineRule="exact"/>
        <w:rPr>
          <w:sz w:val="20"/>
          <w:szCs w:val="20"/>
          <w:color w:val="auto"/>
        </w:rPr>
      </w:pPr>
    </w:p>
    <w:p>
      <w:pPr>
        <w:ind w:left="640" w:hanging="16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general economic conditions;</w:t>
      </w:r>
    </w:p>
    <w:p>
      <w:pPr>
        <w:spacing w:after="0" w:line="108" w:lineRule="exact"/>
        <w:rPr>
          <w:rFonts w:ascii="Times New Roman" w:cs="Times New Roman" w:eastAsia="Times New Roman" w:hAnsi="Times New Roman"/>
          <w:sz w:val="18"/>
          <w:szCs w:val="18"/>
          <w:color w:val="auto"/>
        </w:rPr>
      </w:pPr>
    </w:p>
    <w:p>
      <w:pPr>
        <w:ind w:left="640" w:hanging="16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political developments and/or conflicts;</w:t>
      </w:r>
    </w:p>
    <w:p>
      <w:pPr>
        <w:spacing w:after="0" w:line="108" w:lineRule="exact"/>
        <w:rPr>
          <w:rFonts w:ascii="Times New Roman" w:cs="Times New Roman" w:eastAsia="Times New Roman" w:hAnsi="Times New Roman"/>
          <w:sz w:val="18"/>
          <w:szCs w:val="18"/>
          <w:color w:val="auto"/>
        </w:rPr>
      </w:pPr>
    </w:p>
    <w:p>
      <w:pPr>
        <w:ind w:left="640" w:hanging="16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specific markets for EMCOR’s services;</w:t>
      </w:r>
    </w:p>
    <w:p>
      <w:pPr>
        <w:spacing w:after="0" w:line="108" w:lineRule="exact"/>
        <w:rPr>
          <w:rFonts w:ascii="Times New Roman" w:cs="Times New Roman" w:eastAsia="Times New Roman" w:hAnsi="Times New Roman"/>
          <w:sz w:val="18"/>
          <w:szCs w:val="18"/>
          <w:color w:val="auto"/>
        </w:rPr>
      </w:pPr>
    </w:p>
    <w:p>
      <w:pPr>
        <w:jc w:val="both"/>
        <w:ind w:left="640" w:hanging="161"/>
        <w:spacing w:after="0" w:line="256"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business conditions, including weakness of the sectors from which we generate revenues, scarcity of skilled labor, productivity challenges, the nature and extent of supply chain disruptions impacting availability and pricing of materials, and inflationary trends more generally, including fluctuations in energy costs;</w:t>
      </w:r>
    </w:p>
    <w:p>
      <w:pPr>
        <w:spacing w:after="0" w:line="74" w:lineRule="exact"/>
        <w:rPr>
          <w:rFonts w:ascii="Times New Roman" w:cs="Times New Roman" w:eastAsia="Times New Roman" w:hAnsi="Times New Roman"/>
          <w:sz w:val="18"/>
          <w:szCs w:val="18"/>
          <w:color w:val="auto"/>
        </w:rPr>
      </w:pPr>
    </w:p>
    <w:p>
      <w:pPr>
        <w:ind w:left="640" w:hanging="16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legislation and/or government regulations;</w:t>
      </w:r>
    </w:p>
    <w:p>
      <w:pPr>
        <w:spacing w:after="0" w:line="108" w:lineRule="exact"/>
        <w:rPr>
          <w:rFonts w:ascii="Times New Roman" w:cs="Times New Roman" w:eastAsia="Times New Roman" w:hAnsi="Times New Roman"/>
          <w:sz w:val="18"/>
          <w:szCs w:val="18"/>
          <w:color w:val="auto"/>
        </w:rPr>
      </w:pPr>
    </w:p>
    <w:p>
      <w:pPr>
        <w:ind w:left="640" w:hanging="16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trade policy, including the effect of tariffs;</w:t>
      </w:r>
    </w:p>
    <w:p>
      <w:pPr>
        <w:spacing w:after="0" w:line="108" w:lineRule="exact"/>
        <w:rPr>
          <w:rFonts w:ascii="Times New Roman" w:cs="Times New Roman" w:eastAsia="Times New Roman" w:hAnsi="Times New Roman"/>
          <w:sz w:val="18"/>
          <w:szCs w:val="18"/>
          <w:color w:val="auto"/>
        </w:rPr>
      </w:pPr>
    </w:p>
    <w:p>
      <w:pPr>
        <w:ind w:left="640" w:hanging="16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08" w:lineRule="exact"/>
        <w:rPr>
          <w:rFonts w:ascii="Times New Roman" w:cs="Times New Roman" w:eastAsia="Times New Roman" w:hAnsi="Times New Roman"/>
          <w:sz w:val="18"/>
          <w:szCs w:val="18"/>
          <w:color w:val="auto"/>
        </w:rPr>
      </w:pPr>
    </w:p>
    <w:p>
      <w:pPr>
        <w:ind w:left="640" w:hanging="16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availability of adequate levels of surety bonding;</w:t>
      </w:r>
    </w:p>
    <w:p>
      <w:pPr>
        <w:spacing w:after="0" w:line="108" w:lineRule="exact"/>
        <w:rPr>
          <w:rFonts w:ascii="Times New Roman" w:cs="Times New Roman" w:eastAsia="Times New Roman" w:hAnsi="Times New Roman"/>
          <w:sz w:val="18"/>
          <w:szCs w:val="18"/>
          <w:color w:val="auto"/>
        </w:rPr>
      </w:pPr>
    </w:p>
    <w:p>
      <w:pPr>
        <w:ind w:left="640" w:hanging="16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w:t>
      </w:r>
    </w:p>
    <w:p>
      <w:pPr>
        <w:spacing w:after="0" w:line="108" w:lineRule="exact"/>
        <w:rPr>
          <w:rFonts w:ascii="Times New Roman" w:cs="Times New Roman" w:eastAsia="Times New Roman" w:hAnsi="Times New Roman"/>
          <w:sz w:val="18"/>
          <w:szCs w:val="18"/>
          <w:color w:val="auto"/>
        </w:rPr>
      </w:pPr>
    </w:p>
    <w:p>
      <w:pPr>
        <w:ind w:left="640" w:hanging="16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proceedings, claims, lawsuits, or governmental investigations;</w:t>
      </w:r>
    </w:p>
    <w:p>
      <w:pPr>
        <w:spacing w:after="0" w:line="108" w:lineRule="exact"/>
        <w:rPr>
          <w:rFonts w:ascii="Times New Roman" w:cs="Times New Roman" w:eastAsia="Times New Roman" w:hAnsi="Times New Roman"/>
          <w:sz w:val="18"/>
          <w:szCs w:val="18"/>
          <w:color w:val="auto"/>
        </w:rPr>
      </w:pPr>
    </w:p>
    <w:p>
      <w:pPr>
        <w:ind w:left="640" w:hanging="16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in the mix of our business; and</w:t>
      </w:r>
    </w:p>
    <w:p>
      <w:pPr>
        <w:spacing w:after="0" w:line="108" w:lineRule="exact"/>
        <w:rPr>
          <w:rFonts w:ascii="Times New Roman" w:cs="Times New Roman" w:eastAsia="Times New Roman" w:hAnsi="Times New Roman"/>
          <w:sz w:val="18"/>
          <w:szCs w:val="18"/>
          <w:color w:val="auto"/>
        </w:rPr>
      </w:pPr>
    </w:p>
    <w:p>
      <w:pPr>
        <w:ind w:left="640" w:hanging="16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elsewhere in this report.</w:t>
      </w:r>
    </w:p>
    <w:p>
      <w:pPr>
        <w:spacing w:after="0" w:line="13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Such risks and uncertainties could cause actual results to differ materially from those that might be anticipated from, or projected or implied by, our forward-looking statements. Accordingly, these statements do not guarantee future performance or events. The forward-looking statements contained in this report speak only as of the filing date of this report. We undertake no obligation to update any forward-looking statements unless required by law. However, any further disclosures made on related subjects in our subsequent reports filed with the Securities and Exchange Commission (the “SEC”) should be consulted. We caution investors not to place undue reliance on forward-looking statements, due to their inherent uncertainty.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525780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3"/>
                <w:szCs w:val="13"/>
                <w:color w:val="auto"/>
              </w:rPr>
            </w:pPr>
          </w:p>
        </w:tc>
        <w:tc>
          <w:tcPr>
            <w:tcW w:w="10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5"/>
        </w:trPr>
        <w:tc>
          <w:tcPr>
            <w:tcW w:w="8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7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876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1,339,550</w:t>
            </w:r>
          </w:p>
        </w:tc>
        <w:tc>
          <w:tcPr>
            <w:tcW w:w="0" w:type="dxa"/>
            <w:vAlign w:val="bottom"/>
          </w:tcPr>
          <w:p>
            <w:pPr>
              <w:spacing w:after="0"/>
              <w:rPr>
                <w:sz w:val="1"/>
                <w:szCs w:val="1"/>
                <w:color w:val="auto"/>
              </w:rPr>
            </w:pPr>
          </w:p>
        </w:tc>
      </w:tr>
      <w:tr>
        <w:trPr>
          <w:trHeight w:val="224"/>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for credit losses of $27,521 and $34,957, respectively</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4,114,857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3,577,537</w:t>
            </w: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284,791</w:t>
            </w:r>
          </w:p>
        </w:tc>
        <w:tc>
          <w:tcPr>
            <w:tcW w:w="0" w:type="dxa"/>
            <w:vAlign w:val="bottom"/>
          </w:tcPr>
          <w:p>
            <w:pPr>
              <w:spacing w:after="0"/>
              <w:rPr>
                <w:sz w:val="1"/>
                <w:szCs w:val="1"/>
                <w:color w:val="auto"/>
              </w:rPr>
            </w:pPr>
          </w:p>
        </w:tc>
      </w:tr>
      <w:tr>
        <w:trPr>
          <w:trHeight w:val="224"/>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95,667</w:t>
            </w: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91,644</w:t>
            </w:r>
          </w:p>
        </w:tc>
        <w:tc>
          <w:tcPr>
            <w:tcW w:w="0" w:type="dxa"/>
            <w:vAlign w:val="bottom"/>
          </w:tcPr>
          <w:p>
            <w:pPr>
              <w:spacing w:after="0"/>
              <w:rPr>
                <w:sz w:val="1"/>
                <w:szCs w:val="1"/>
                <w:color w:val="auto"/>
              </w:rPr>
            </w:pPr>
          </w:p>
        </w:tc>
      </w:tr>
      <w:tr>
        <w:trPr>
          <w:trHeight w:val="217"/>
        </w:trPr>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5,176,646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5,389,189</w:t>
            </w: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207,489</w:t>
            </w:r>
          </w:p>
        </w:tc>
        <w:tc>
          <w:tcPr>
            <w:tcW w:w="0" w:type="dxa"/>
            <w:vAlign w:val="bottom"/>
          </w:tcPr>
          <w:p>
            <w:pPr>
              <w:spacing w:after="0"/>
              <w:rPr>
                <w:sz w:val="1"/>
                <w:szCs w:val="1"/>
                <w:color w:val="auto"/>
              </w:rPr>
            </w:pPr>
          </w:p>
        </w:tc>
      </w:tr>
      <w:tr>
        <w:trPr>
          <w:trHeight w:val="224"/>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316,128</w:t>
            </w: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1,018,415</w:t>
            </w:r>
          </w:p>
        </w:tc>
        <w:tc>
          <w:tcPr>
            <w:tcW w:w="0" w:type="dxa"/>
            <w:vAlign w:val="bottom"/>
          </w:tcPr>
          <w:p>
            <w:pPr>
              <w:spacing w:after="0"/>
              <w:rPr>
                <w:sz w:val="1"/>
                <w:szCs w:val="1"/>
                <w:color w:val="auto"/>
              </w:rPr>
            </w:pPr>
          </w:p>
        </w:tc>
      </w:tr>
      <w:tr>
        <w:trPr>
          <w:trHeight w:val="224"/>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648,180</w:t>
            </w: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137,072</w:t>
            </w:r>
          </w:p>
        </w:tc>
        <w:tc>
          <w:tcPr>
            <w:tcW w:w="0" w:type="dxa"/>
            <w:vAlign w:val="bottom"/>
          </w:tcPr>
          <w:p>
            <w:pPr>
              <w:spacing w:after="0"/>
              <w:rPr>
                <w:sz w:val="1"/>
                <w:szCs w:val="1"/>
                <w:color w:val="auto"/>
              </w:rPr>
            </w:pPr>
          </w:p>
        </w:tc>
      </w:tr>
      <w:tr>
        <w:trPr>
          <w:trHeight w:val="217"/>
        </w:trPr>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8,400,480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7,716,473</w:t>
            </w:r>
          </w:p>
        </w:tc>
        <w:tc>
          <w:tcPr>
            <w:tcW w:w="0" w:type="dxa"/>
            <w:vAlign w:val="bottom"/>
          </w:tcPr>
          <w:p>
            <w:pPr>
              <w:spacing w:after="0"/>
              <w:rPr>
                <w:sz w:val="1"/>
                <w:szCs w:val="1"/>
                <w:color w:val="auto"/>
              </w:rPr>
            </w:pP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60" w:type="dxa"/>
            <w:vAlign w:val="bottom"/>
            <w:shd w:val="clear" w:color="auto" w:fill="CCEEFF"/>
          </w:tcPr>
          <w:p>
            <w:pPr>
              <w:ind w:left="3260"/>
              <w:spacing w:after="0" w:line="190"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937,087</w:t>
            </w:r>
          </w:p>
        </w:tc>
        <w:tc>
          <w:tcPr>
            <w:tcW w:w="0" w:type="dxa"/>
            <w:vAlign w:val="bottom"/>
          </w:tcPr>
          <w:p>
            <w:pPr>
              <w:spacing w:after="0"/>
              <w:rPr>
                <w:sz w:val="1"/>
                <w:szCs w:val="1"/>
                <w:color w:val="auto"/>
              </w:rPr>
            </w:pPr>
          </w:p>
        </w:tc>
      </w:tr>
      <w:tr>
        <w:trPr>
          <w:trHeight w:val="224"/>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2,133,872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2,047,540</w:t>
            </w: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751,434</w:t>
            </w:r>
          </w:p>
        </w:tc>
        <w:tc>
          <w:tcPr>
            <w:tcW w:w="0" w:type="dxa"/>
            <w:vAlign w:val="bottom"/>
          </w:tcPr>
          <w:p>
            <w:pPr>
              <w:spacing w:after="0"/>
              <w:rPr>
                <w:sz w:val="1"/>
                <w:szCs w:val="1"/>
                <w:color w:val="auto"/>
              </w:rPr>
            </w:pPr>
          </w:p>
        </w:tc>
      </w:tr>
      <w:tr>
        <w:trPr>
          <w:trHeight w:val="224"/>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336,555</w:t>
            </w: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81,247</w:t>
            </w:r>
          </w:p>
        </w:tc>
        <w:tc>
          <w:tcPr>
            <w:tcW w:w="0" w:type="dxa"/>
            <w:vAlign w:val="bottom"/>
          </w:tcPr>
          <w:p>
            <w:pPr>
              <w:spacing w:after="0"/>
              <w:rPr>
                <w:sz w:val="1"/>
                <w:szCs w:val="1"/>
                <w:color w:val="auto"/>
              </w:rPr>
            </w:pPr>
          </w:p>
        </w:tc>
      </w:tr>
      <w:tr>
        <w:trPr>
          <w:trHeight w:val="217"/>
        </w:trPr>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4,394,538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4,153,863</w:t>
            </w: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261,575</w:t>
            </w: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362,341</w:t>
            </w:r>
          </w:p>
        </w:tc>
        <w:tc>
          <w:tcPr>
            <w:tcW w:w="0" w:type="dxa"/>
            <w:vAlign w:val="bottom"/>
          </w:tcPr>
          <w:p>
            <w:pPr>
              <w:spacing w:after="0"/>
              <w:rPr>
                <w:sz w:val="1"/>
                <w:szCs w:val="1"/>
                <w:color w:val="auto"/>
              </w:rPr>
            </w:pPr>
          </w:p>
        </w:tc>
      </w:tr>
      <w:tr>
        <w:trPr>
          <w:trHeight w:val="217"/>
        </w:trPr>
        <w:tc>
          <w:tcPr>
            <w:tcW w:w="87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5,346,908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4,777,779</w:t>
            </w:r>
          </w:p>
        </w:tc>
        <w:tc>
          <w:tcPr>
            <w:tcW w:w="0" w:type="dxa"/>
            <w:vAlign w:val="bottom"/>
          </w:tcPr>
          <w:p>
            <w:pPr>
              <w:spacing w:after="0"/>
              <w:rPr>
                <w:sz w:val="1"/>
                <w:szCs w:val="1"/>
                <w:color w:val="auto"/>
              </w:rPr>
            </w:pPr>
          </w:p>
        </w:tc>
      </w:tr>
      <w:tr>
        <w:trPr>
          <w:trHeight w:val="204"/>
        </w:trPr>
        <w:tc>
          <w:tcPr>
            <w:tcW w:w="87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EMCOR Group, Inc. stockholders’ equity:</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$0.10 par value, 1,000,000 shares authorized, zero issued and outstanding</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Common stock, $0.01 par value, 200,000,000 shares authorized, 61,243,469 and 61,186,088 shares issued, respectively</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surplus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97,475</w:t>
            </w:r>
          </w:p>
        </w:tc>
        <w:tc>
          <w:tcPr>
            <w:tcW w:w="0" w:type="dxa"/>
            <w:vAlign w:val="bottom"/>
          </w:tcPr>
          <w:p>
            <w:pPr>
              <w:spacing w:after="0"/>
              <w:rPr>
                <w:sz w:val="1"/>
                <w:szCs w:val="1"/>
                <w:color w:val="auto"/>
              </w:rPr>
            </w:pPr>
          </w:p>
        </w:tc>
      </w:tr>
      <w:tr>
        <w:trPr>
          <w:trHeight w:val="224"/>
        </w:trPr>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(85,527)</w:t>
            </w: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5,298,205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4,778,061</w:t>
            </w:r>
          </w:p>
        </w:tc>
        <w:tc>
          <w:tcPr>
            <w:tcW w:w="0" w:type="dxa"/>
            <w:vAlign w:val="bottom"/>
          </w:tcPr>
          <w:p>
            <w:pPr>
              <w:spacing w:after="0"/>
              <w:rPr>
                <w:sz w:val="1"/>
                <w:szCs w:val="1"/>
                <w:color w:val="auto"/>
              </w:rPr>
            </w:pPr>
          </w:p>
        </w:tc>
      </w:tr>
      <w:tr>
        <w:trPr>
          <w:trHeight w:val="224"/>
        </w:trPr>
        <w:tc>
          <w:tcPr>
            <w:tcW w:w="8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Treasury stock, at cost 16,480,693 and 15,375,963 shares, respectively</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(2,276,283)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(1,852,964)</w:t>
            </w:r>
          </w:p>
        </w:tc>
        <w:tc>
          <w:tcPr>
            <w:tcW w:w="0" w:type="dxa"/>
            <w:vAlign w:val="bottom"/>
          </w:tcPr>
          <w:p>
            <w:pPr>
              <w:spacing w:after="0"/>
              <w:rPr>
                <w:sz w:val="1"/>
                <w:szCs w:val="1"/>
                <w:color w:val="auto"/>
              </w:rPr>
            </w:pPr>
          </w:p>
        </w:tc>
      </w:tr>
      <w:tr>
        <w:trPr>
          <w:trHeight w:val="217"/>
        </w:trPr>
        <w:tc>
          <w:tcPr>
            <w:tcW w:w="8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EMCOR Group, Inc. stockholders’ equity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3,051,601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2,937,657</w:t>
            </w:r>
          </w:p>
        </w:tc>
        <w:tc>
          <w:tcPr>
            <w:tcW w:w="0" w:type="dxa"/>
            <w:vAlign w:val="bottom"/>
          </w:tcPr>
          <w:p>
            <w:pPr>
              <w:spacing w:after="0"/>
              <w:rPr>
                <w:sz w:val="1"/>
                <w:szCs w:val="1"/>
                <w:color w:val="auto"/>
              </w:rPr>
            </w:pPr>
          </w:p>
        </w:tc>
      </w:tr>
      <w:tr>
        <w:trPr>
          <w:trHeight w:val="224"/>
        </w:trPr>
        <w:tc>
          <w:tcPr>
            <w:tcW w:w="8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7"/>
        </w:trPr>
        <w:tc>
          <w:tcPr>
            <w:tcW w:w="8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3,053,572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2,938,694</w:t>
            </w:r>
          </w:p>
        </w:tc>
        <w:tc>
          <w:tcPr>
            <w:tcW w:w="0" w:type="dxa"/>
            <w:vAlign w:val="bottom"/>
          </w:tcPr>
          <w:p>
            <w:pPr>
              <w:spacing w:after="0"/>
              <w:rPr>
                <w:sz w:val="1"/>
                <w:szCs w:val="1"/>
                <w:color w:val="auto"/>
              </w:rPr>
            </w:pPr>
          </w:p>
        </w:tc>
      </w:tr>
      <w:tr>
        <w:trPr>
          <w:trHeight w:val="217"/>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8,400,480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7,716,473</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24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8,171,772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7,099,173</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3,470,629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2,982,896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6,615,283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5,825,863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1,273,310</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680,549</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592,761</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606,851</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302,160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247,572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542,837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6" w:lineRule="exact"/>
        <w:rPr>
          <w:sz w:val="20"/>
          <w:szCs w:val="20"/>
          <w:color w:val="auto"/>
        </w:rPr>
      </w:pPr>
    </w:p>
    <w:p>
      <w:pPr>
        <w:ind w:right="478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COMPREHENSIVE INCOME </w:t>
      </w:r>
      <w:r>
        <w:rPr>
          <w:rFonts w:ascii="Times New Roman" w:cs="Times New Roman" w:eastAsia="Times New Roman" w:hAnsi="Times New Roman"/>
          <w:sz w:val="18"/>
          <w:szCs w:val="18"/>
          <w:i w:val="1"/>
          <w:iCs w:val="1"/>
          <w:color w:val="auto"/>
        </w:rPr>
        <w:t>(In thousands)(Unaudited)</w:t>
      </w:r>
    </w:p>
    <w:tbl>
      <w:tblPr>
        <w:tblLayout w:type="fixed"/>
        <w:tblInd w:w="40" w:type="dxa"/>
        <w:tblCellMar>
          <w:top w:w="0" w:type="dxa"/>
          <w:left w:w="0" w:type="dxa"/>
          <w:bottom w:w="0" w:type="dxa"/>
          <w:right w:w="0" w:type="dxa"/>
        </w:tblCellMar>
      </w:tblPr>
      <w:tr>
        <w:trPr>
          <w:trHeight w:val="144"/>
        </w:trPr>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gridSpan w:val="5"/>
          </w:tcPr>
          <w:p>
            <w:pPr>
              <w:ind w:left="360"/>
              <w:spacing w:after="0" w:line="14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2"/>
                <w:szCs w:val="12"/>
                <w:color w:val="auto"/>
              </w:rPr>
            </w:pPr>
          </w:p>
        </w:tc>
        <w:tc>
          <w:tcPr>
            <w:tcW w:w="2220" w:type="dxa"/>
            <w:vAlign w:val="bottom"/>
            <w:gridSpan w:val="4"/>
          </w:tcPr>
          <w:p>
            <w:pPr>
              <w:jc w:val="right"/>
              <w:ind w:right="635"/>
              <w:spacing w:after="0" w:line="144"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1"/>
        </w:trPr>
        <w:tc>
          <w:tcPr>
            <w:tcW w:w="6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444,721</w:t>
            </w:r>
          </w:p>
        </w:tc>
      </w:tr>
      <w:tr>
        <w:trPr>
          <w:trHeight w:val="22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171"/>
        </w:trPr>
        <w:tc>
          <w:tcPr>
            <w:tcW w:w="6080" w:type="dxa"/>
            <w:vAlign w:val="bottom"/>
          </w:tcPr>
          <w:p>
            <w:pPr>
              <w:ind w:left="320"/>
              <w:spacing w:after="0" w:line="171" w:lineRule="exact"/>
              <w:rPr>
                <w:sz w:val="20"/>
                <w:szCs w:val="20"/>
                <w:color w:val="auto"/>
              </w:rPr>
            </w:pPr>
            <w:r>
              <w:rPr>
                <w:rFonts w:ascii="Times New Roman" w:cs="Times New Roman" w:eastAsia="Times New Roman" w:hAnsi="Times New Roman"/>
                <w:sz w:val="18"/>
                <w:szCs w:val="18"/>
                <w:color w:val="auto"/>
              </w:rPr>
              <w:t>Post-retirement plans, amortization of actuarial</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7"/>
        </w:trPr>
        <w:tc>
          <w:tcPr>
            <w:tcW w:w="6080" w:type="dxa"/>
            <w:vAlign w:val="bottom"/>
            <w:tcBorders>
              <w:bottom w:val="single" w:sz="8" w:color="CCEEFF"/>
            </w:tcBorders>
          </w:tcPr>
          <w:p>
            <w:pPr>
              <w:ind w:left="320"/>
              <w:spacing w:after="0" w:line="237" w:lineRule="exact"/>
              <w:rPr>
                <w:sz w:val="20"/>
                <w:szCs w:val="20"/>
                <w:color w:val="auto"/>
              </w:rPr>
            </w:pPr>
            <w:r>
              <w:rPr>
                <w:rFonts w:ascii="Times New Roman" w:cs="Times New Roman" w:eastAsia="Times New Roman" w:hAnsi="Times New Roman"/>
                <w:sz w:val="18"/>
                <w:szCs w:val="18"/>
                <w:color w:val="auto"/>
              </w:rPr>
              <w:t xml:space="preserve">loss included in net income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17"/>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7"/>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313,856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248,299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560,352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444,716</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w:t>
      </w:r>
    </w:p>
    <w:p>
      <w:pPr>
        <w:spacing w:after="0" w:line="61" w:lineRule="exact"/>
        <w:rPr>
          <w:sz w:val="20"/>
          <w:szCs w:val="20"/>
          <w:color w:val="auto"/>
        </w:rPr>
      </w:pPr>
    </w:p>
    <w:p>
      <w:pPr>
        <w:ind w:left="400" w:hanging="395"/>
        <w:spacing w:after="0" w:line="269" w:lineRule="auto"/>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tax of $0.2 million for each of the three months ended June 30, 2025 and 2024, and net of tax of $0.3 million for each of the six months ended June 30, 2025 and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thousands)(Unaudited)</w:t>
      </w:r>
    </w:p>
    <w:p>
      <w:pPr>
        <w:spacing w:after="0" w:line="8"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4"/>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444,721</w:t>
            </w:r>
          </w:p>
        </w:tc>
      </w:tr>
      <w:tr>
        <w:trPr>
          <w:trHeight w:val="224"/>
        </w:trPr>
        <w:tc>
          <w:tcPr>
            <w:tcW w:w="8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27,408</w:t>
            </w:r>
          </w:p>
        </w:tc>
      </w:tr>
      <w:tr>
        <w:trPr>
          <w:trHeight w:val="224"/>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36,412</w:t>
            </w:r>
          </w:p>
        </w:tc>
      </w:tr>
      <w:tr>
        <w:trPr>
          <w:trHeight w:val="224"/>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r>
      <w:tr>
        <w:trPr>
          <w:trHeight w:val="224"/>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w:t>
            </w:r>
          </w:p>
        </w:tc>
      </w:tr>
      <w:tr>
        <w:trPr>
          <w:trHeight w:val="224"/>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reconciling items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24"/>
        </w:trPr>
        <w:tc>
          <w:tcPr>
            <w:tcW w:w="8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effect of businesses acquired</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(114,965)</w:t>
            </w:r>
          </w:p>
        </w:tc>
      </w:tr>
      <w:tr>
        <w:trPr>
          <w:trHeight w:val="217"/>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302,158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411,958</w:t>
            </w:r>
          </w:p>
        </w:tc>
      </w:tr>
      <w:tr>
        <w:trPr>
          <w:trHeight w:val="204"/>
        </w:trPr>
        <w:tc>
          <w:tcPr>
            <w:tcW w:w="88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flows - investing activities: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4"/>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acquisitions of businesses, net of cash acquired</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(173,265)</w:t>
            </w:r>
          </w:p>
        </w:tc>
      </w:tr>
      <w:tr>
        <w:trPr>
          <w:trHeight w:val="224"/>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or disposal of property, plant, and equipment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24"/>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(39,529)</w:t>
            </w:r>
          </w:p>
        </w:tc>
      </w:tr>
      <w:tr>
        <w:trPr>
          <w:trHeight w:val="217"/>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(211,139)</w:t>
            </w:r>
          </w:p>
        </w:tc>
      </w:tr>
      <w:tr>
        <w:trPr>
          <w:trHeight w:val="204"/>
        </w:trPr>
        <w:tc>
          <w:tcPr>
            <w:tcW w:w="88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flows - financing activities: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4"/>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revolving credit facility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finance lease liabilities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24"/>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w:t>
            </w:r>
          </w:p>
        </w:tc>
      </w:tr>
      <w:tr>
        <w:trPr>
          <w:trHeight w:val="224"/>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(149,009)</w:t>
            </w:r>
          </w:p>
        </w:tc>
      </w:tr>
      <w:tr>
        <w:trPr>
          <w:trHeight w:val="224"/>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paid related to net share settlements of equity awards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(11,766)</w:t>
            </w:r>
          </w:p>
        </w:tc>
      </w:tr>
      <w:tr>
        <w:trPr>
          <w:trHeight w:val="224"/>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Issuances of common stock under employee stock purchase plan</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4"/>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contingent consideration arrangements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(181,444)</w:t>
            </w:r>
          </w:p>
        </w:tc>
      </w:tr>
      <w:tr>
        <w:trPr>
          <w:trHeight w:val="217"/>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17"/>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cash equivalents, and restricted cash</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w:t>
            </w:r>
          </w:p>
        </w:tc>
      </w:tr>
      <w:tr>
        <w:trPr>
          <w:trHeight w:val="224"/>
        </w:trPr>
        <w:tc>
          <w:tcPr>
            <w:tcW w:w="88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at beginning of year </w:t>
            </w:r>
            <w:r>
              <w:rPr>
                <w:rFonts w:ascii="Times New Roman" w:cs="Times New Roman" w:eastAsia="Times New Roman" w:hAnsi="Times New Roman"/>
                <w:sz w:val="22"/>
                <w:szCs w:val="22"/>
                <w:b w:val="1"/>
                <w:bCs w:val="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789,750</w:t>
            </w:r>
          </w:p>
        </w:tc>
      </w:tr>
      <w:tr>
        <w:trPr>
          <w:trHeight w:val="217"/>
        </w:trPr>
        <w:tc>
          <w:tcPr>
            <w:tcW w:w="884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at end of period </w:t>
            </w:r>
            <w:r>
              <w:rPr>
                <w:rFonts w:ascii="Times New Roman" w:cs="Times New Roman" w:eastAsia="Times New Roman" w:hAnsi="Times New Roman"/>
                <w:sz w:val="22"/>
                <w:szCs w:val="22"/>
                <w:b w:val="1"/>
                <w:bCs w:val="1"/>
                <w:color w:val="auto"/>
                <w:vertAlign w:val="superscript"/>
              </w:rPr>
              <w:t>(2)</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487,161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808,198</w:t>
            </w: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w:t>
      </w:r>
    </w:p>
    <w:p>
      <w:pPr>
        <w:spacing w:after="0" w:line="101" w:lineRule="exact"/>
        <w:rPr>
          <w:sz w:val="20"/>
          <w:szCs w:val="20"/>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$0.8 million of restricted cash classified as “Prepaid expenses and other” in the Consolidated Balance Sheet as of December 31, 2024.</w:t>
      </w:r>
    </w:p>
    <w:p>
      <w:pPr>
        <w:spacing w:after="0" w:line="105" w:lineRule="exact"/>
        <w:rPr>
          <w:rFonts w:ascii="Times New Roman" w:cs="Times New Roman" w:eastAsia="Times New Roman" w:hAnsi="Times New Roman"/>
          <w:sz w:val="16"/>
          <w:szCs w:val="16"/>
          <w:color w:val="auto"/>
        </w:rPr>
      </w:pPr>
    </w:p>
    <w:p>
      <w:pPr>
        <w:ind w:left="400" w:hanging="395"/>
        <w:spacing w:after="0" w:line="269" w:lineRule="auto"/>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$1.2 million and $0.9 million of restricted cash classified as “Prepaid expenses and other” in the Consolidated Balance Sheet as of June 30, 2025 and 2024, respectively.</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 and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thousands)(Unaudited)</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EMCOR Group, Inc. Stockholders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0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80" w:type="dxa"/>
            <w:vAlign w:val="bottom"/>
            <w:gridSpan w:val="3"/>
          </w:tcPr>
          <w:p>
            <w:pPr>
              <w:jc w:val="center"/>
              <w:ind w:right="120"/>
              <w:spacing w:after="0" w:line="125"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200" w:type="dxa"/>
            <w:vAlign w:val="bottom"/>
          </w:tcPr>
          <w:p>
            <w:pPr>
              <w:spacing w:after="0"/>
              <w:rPr>
                <w:sz w:val="10"/>
                <w:szCs w:val="10"/>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0"/>
                <w:szCs w:val="10"/>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0"/>
                <w:szCs w:val="10"/>
                <w:color w:val="auto"/>
              </w:rPr>
            </w:pPr>
          </w:p>
        </w:tc>
        <w:tc>
          <w:tcPr>
            <w:tcW w:w="1040" w:type="dxa"/>
            <w:vAlign w:val="bottom"/>
            <w:vMerge w:val="restart"/>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32"/>
        </w:trPr>
        <w:tc>
          <w:tcPr>
            <w:tcW w:w="2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8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3"/>
                <w:szCs w:val="13"/>
                <w:b w:val="1"/>
                <w:bCs w:val="1"/>
                <w:color w:val="auto"/>
              </w:rPr>
              <w:t>comprehensive loss</w:t>
            </w: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1"/>
                <w:szCs w:val="11"/>
                <w:color w:val="auto"/>
              </w:rPr>
            </w:pPr>
          </w:p>
        </w:tc>
        <w:tc>
          <w:tcPr>
            <w:tcW w:w="90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b w:val="1"/>
                <w:bCs w:val="1"/>
                <w:color w:val="auto"/>
              </w:rPr>
              <w:t>surplus</w:t>
            </w:r>
          </w:p>
        </w:tc>
        <w:tc>
          <w:tcPr>
            <w:tcW w:w="320" w:type="dxa"/>
            <w:vAlign w:val="bottom"/>
          </w:tcPr>
          <w:p>
            <w:pPr>
              <w:spacing w:after="0"/>
              <w:rPr>
                <w:sz w:val="11"/>
                <w:szCs w:val="11"/>
                <w:color w:val="auto"/>
              </w:rPr>
            </w:pPr>
          </w:p>
        </w:tc>
        <w:tc>
          <w:tcPr>
            <w:tcW w:w="860" w:type="dxa"/>
            <w:vAlign w:val="bottom"/>
          </w:tcPr>
          <w:p>
            <w:pPr>
              <w:jc w:val="center"/>
              <w:ind w:right="239"/>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ind w:left="120"/>
              <w:spacing w:after="0" w:line="13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1"/>
                <w:szCs w:val="11"/>
                <w:color w:val="auto"/>
              </w:rPr>
            </w:pPr>
          </w:p>
        </w:tc>
        <w:tc>
          <w:tcPr>
            <w:tcW w:w="1040" w:type="dxa"/>
            <w:vAlign w:val="bottom"/>
            <w:gridSpan w:val="2"/>
          </w:tcPr>
          <w:p>
            <w:pPr>
              <w:ind w:left="220"/>
              <w:spacing w:after="0" w:line="132" w:lineRule="exact"/>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1"/>
                <w:szCs w:val="11"/>
                <w:color w:val="auto"/>
              </w:rPr>
            </w:pPr>
          </w:p>
        </w:tc>
        <w:tc>
          <w:tcPr>
            <w:tcW w:w="1040" w:type="dxa"/>
            <w:vAlign w:val="bottom"/>
          </w:tcPr>
          <w:p>
            <w:pPr>
              <w:jc w:val="right"/>
              <w:ind w:right="278"/>
              <w:spacing w:after="0" w:line="13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217"/>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March 31, 2024</w:t>
            </w: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2,615,382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87,673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4,003,079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(1,390,583)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20"/>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3"/>
        </w:trPr>
        <w:tc>
          <w:tcPr>
            <w:tcW w:w="2920" w:type="dxa"/>
            <w:vAlign w:val="bottom"/>
          </w:tcPr>
          <w:p>
            <w:pPr>
              <w:ind w:left="120"/>
              <w:spacing w:after="0" w:line="163" w:lineRule="exact"/>
              <w:rPr>
                <w:sz w:val="20"/>
                <w:szCs w:val="20"/>
                <w:color w:val="auto"/>
              </w:rPr>
            </w:pPr>
            <w:r>
              <w:rPr>
                <w:rFonts w:ascii="Times New Roman" w:cs="Times New Roman" w:eastAsia="Times New Roman" w:hAnsi="Times New Roman"/>
                <w:sz w:val="17"/>
                <w:szCs w:val="17"/>
                <w:color w:val="auto"/>
              </w:rPr>
              <w:t>Tax withholding for common stock</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Pr>
          <w:p>
            <w:pPr>
              <w:ind w:left="120"/>
              <w:spacing w:after="0" w:line="172" w:lineRule="exact"/>
              <w:rPr>
                <w:sz w:val="20"/>
                <w:szCs w:val="20"/>
                <w:color w:val="auto"/>
              </w:rPr>
            </w:pPr>
            <w:r>
              <w:rPr>
                <w:rFonts w:ascii="Times New Roman" w:cs="Times New Roman" w:eastAsia="Times New Roman" w:hAnsi="Times New Roman"/>
                <w:sz w:val="17"/>
                <w:szCs w:val="17"/>
                <w:color w:val="auto"/>
              </w:rPr>
              <w:t>issued under share-based compensation</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plans</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 dividends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Balance, June 30, 2024</w:t>
            </w: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2,745,597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92,434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(85,709)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4,238,867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(1,501,644)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Balance, March 31, 2025</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2,951,928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93,424</w:t>
            </w:r>
          </w:p>
        </w:tc>
        <w:tc>
          <w:tcPr>
            <w:tcW w:w="10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(79,708)</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5,007,257</w:t>
            </w:r>
          </w:p>
        </w:tc>
        <w:tc>
          <w:tcPr>
            <w:tcW w:w="120" w:type="dxa"/>
            <w:vAlign w:val="bottom"/>
          </w:tcPr>
          <w:p>
            <w:pPr>
              <w:spacing w:after="0"/>
              <w:rPr>
                <w:sz w:val="19"/>
                <w:szCs w:val="19"/>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(2,071,628)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6"/>
        </w:trPr>
        <w:tc>
          <w:tcPr>
            <w:tcW w:w="2920" w:type="dxa"/>
            <w:vAlign w:val="bottom"/>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Tax withholding for common stock</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7"/>
                <w:szCs w:val="17"/>
                <w:color w:val="auto"/>
              </w:rPr>
              <w:t>issued under share-based compensation</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plans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Common stock dividends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(204,655)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(204,655)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June 30, 2025</w:t>
            </w: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3,053,572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5,298,205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_________</w:t>
      </w:r>
    </w:p>
    <w:p>
      <w:pPr>
        <w:spacing w:after="0" w:line="48" w:lineRule="exact"/>
        <w:rPr>
          <w:sz w:val="20"/>
          <w:szCs w:val="20"/>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cumulative foreign currency translation adjustments and post-retirement liability adjustments.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thousands)(Unaudited)</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EMCOR Group, Inc. Stockholders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0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80" w:type="dxa"/>
            <w:vAlign w:val="bottom"/>
            <w:gridSpan w:val="3"/>
          </w:tcPr>
          <w:p>
            <w:pPr>
              <w:jc w:val="center"/>
              <w:ind w:right="120"/>
              <w:spacing w:after="0" w:line="125"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200" w:type="dxa"/>
            <w:vAlign w:val="bottom"/>
          </w:tcPr>
          <w:p>
            <w:pPr>
              <w:spacing w:after="0"/>
              <w:rPr>
                <w:sz w:val="10"/>
                <w:szCs w:val="10"/>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0"/>
                <w:szCs w:val="10"/>
                <w:color w:val="auto"/>
              </w:rPr>
            </w:pPr>
          </w:p>
        </w:tc>
        <w:tc>
          <w:tcPr>
            <w:tcW w:w="1040" w:type="dxa"/>
            <w:vAlign w:val="bottom"/>
            <w:vMerge w:val="restart"/>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32"/>
        </w:trPr>
        <w:tc>
          <w:tcPr>
            <w:tcW w:w="2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8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3"/>
                <w:szCs w:val="13"/>
                <w:b w:val="1"/>
                <w:bCs w:val="1"/>
                <w:color w:val="auto"/>
              </w:rPr>
              <w:t>comprehensive loss</w:t>
            </w: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1"/>
                <w:szCs w:val="11"/>
                <w:color w:val="auto"/>
              </w:rPr>
            </w:pPr>
          </w:p>
        </w:tc>
        <w:tc>
          <w:tcPr>
            <w:tcW w:w="90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b w:val="1"/>
                <w:bCs w:val="1"/>
                <w:color w:val="auto"/>
              </w:rPr>
              <w:t>surplus</w:t>
            </w:r>
          </w:p>
        </w:tc>
        <w:tc>
          <w:tcPr>
            <w:tcW w:w="320" w:type="dxa"/>
            <w:vAlign w:val="bottom"/>
          </w:tcPr>
          <w:p>
            <w:pPr>
              <w:spacing w:after="0"/>
              <w:rPr>
                <w:sz w:val="11"/>
                <w:szCs w:val="11"/>
                <w:color w:val="auto"/>
              </w:rPr>
            </w:pPr>
          </w:p>
        </w:tc>
        <w:tc>
          <w:tcPr>
            <w:tcW w:w="860" w:type="dxa"/>
            <w:vAlign w:val="bottom"/>
          </w:tcPr>
          <w:p>
            <w:pPr>
              <w:jc w:val="center"/>
              <w:ind w:right="238"/>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ind w:left="120"/>
              <w:spacing w:after="0" w:line="13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1"/>
                <w:szCs w:val="11"/>
                <w:color w:val="auto"/>
              </w:rPr>
            </w:pPr>
          </w:p>
        </w:tc>
        <w:tc>
          <w:tcPr>
            <w:tcW w:w="1040" w:type="dxa"/>
            <w:vAlign w:val="bottom"/>
            <w:gridSpan w:val="2"/>
          </w:tcPr>
          <w:p>
            <w:pPr>
              <w:jc w:val="center"/>
              <w:ind w:right="320"/>
              <w:spacing w:after="0" w:line="13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40" w:type="dxa"/>
            <w:vAlign w:val="bottom"/>
          </w:tcPr>
          <w:p>
            <w:pPr>
              <w:spacing w:after="0"/>
              <w:rPr>
                <w:sz w:val="11"/>
                <w:szCs w:val="11"/>
                <w:color w:val="auto"/>
              </w:rPr>
            </w:pPr>
          </w:p>
        </w:tc>
        <w:tc>
          <w:tcPr>
            <w:tcW w:w="1040" w:type="dxa"/>
            <w:vAlign w:val="bottom"/>
          </w:tcPr>
          <w:p>
            <w:pPr>
              <w:jc w:val="right"/>
              <w:ind w:right="278"/>
              <w:spacing w:after="0" w:line="13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217"/>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2023</w:t>
            </w: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2,470,815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91,813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(85,704)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3,814,439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(1,351,381)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20"/>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444,721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444,721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3"/>
        </w:trPr>
        <w:tc>
          <w:tcPr>
            <w:tcW w:w="2920" w:type="dxa"/>
            <w:vAlign w:val="bottom"/>
          </w:tcPr>
          <w:p>
            <w:pPr>
              <w:ind w:left="120"/>
              <w:spacing w:after="0" w:line="163" w:lineRule="exact"/>
              <w:rPr>
                <w:sz w:val="20"/>
                <w:szCs w:val="20"/>
                <w:color w:val="auto"/>
              </w:rPr>
            </w:pPr>
            <w:r>
              <w:rPr>
                <w:rFonts w:ascii="Times New Roman" w:cs="Times New Roman" w:eastAsia="Times New Roman" w:hAnsi="Times New Roman"/>
                <w:sz w:val="17"/>
                <w:szCs w:val="17"/>
                <w:color w:val="auto"/>
              </w:rPr>
              <w:t>Common stock issued under share-based</w:t>
            </w:r>
          </w:p>
        </w:tc>
        <w:tc>
          <w:tcPr>
            <w:tcW w:w="22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plans</w:t>
            </w: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ind w:left="120"/>
              <w:spacing w:after="0" w:line="163" w:lineRule="exact"/>
              <w:rPr>
                <w:sz w:val="20"/>
                <w:szCs w:val="20"/>
                <w:color w:val="auto"/>
              </w:rPr>
            </w:pPr>
            <w:r>
              <w:rPr>
                <w:rFonts w:ascii="Times New Roman" w:cs="Times New Roman" w:eastAsia="Times New Roman" w:hAnsi="Times New Roman"/>
                <w:sz w:val="17"/>
                <w:szCs w:val="17"/>
                <w:color w:val="auto"/>
              </w:rPr>
              <w:t>Tax withholding for common stock</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7"/>
                <w:szCs w:val="17"/>
                <w:color w:val="auto"/>
              </w:rPr>
              <w:t>issued under share-based compensation</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plans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920" w:type="dxa"/>
            <w:vAlign w:val="bottom"/>
          </w:tcPr>
          <w:p>
            <w:pPr>
              <w:ind w:left="120"/>
              <w:spacing w:after="0" w:line="163" w:lineRule="exact"/>
              <w:rPr>
                <w:sz w:val="20"/>
                <w:szCs w:val="20"/>
                <w:color w:val="auto"/>
              </w:rPr>
            </w:pPr>
            <w:r>
              <w:rPr>
                <w:rFonts w:ascii="Times New Roman" w:cs="Times New Roman" w:eastAsia="Times New Roman" w:hAnsi="Times New Roman"/>
                <w:sz w:val="17"/>
                <w:szCs w:val="17"/>
                <w:color w:val="auto"/>
              </w:rPr>
              <w:t>Common stock issued under employee</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purchase plan</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 dividends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Balance, June 30, 2024</w:t>
            </w: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2,745,597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92,434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(85,709)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4,238,867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(1,501,644)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Balance, December 31, 2024</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2,938,694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97,475</w:t>
            </w:r>
          </w:p>
        </w:tc>
        <w:tc>
          <w:tcPr>
            <w:tcW w:w="10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(85,527)</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4,778,061</w:t>
            </w:r>
          </w:p>
        </w:tc>
        <w:tc>
          <w:tcPr>
            <w:tcW w:w="120" w:type="dxa"/>
            <w:vAlign w:val="bottom"/>
          </w:tcPr>
          <w:p>
            <w:pPr>
              <w:spacing w:after="0"/>
              <w:rPr>
                <w:sz w:val="19"/>
                <w:szCs w:val="19"/>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(1,852,964)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542,837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6"/>
        </w:trPr>
        <w:tc>
          <w:tcPr>
            <w:tcW w:w="2920" w:type="dxa"/>
            <w:vAlign w:val="bottom"/>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Tax withholding for common stock</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7"/>
                <w:szCs w:val="17"/>
                <w:color w:val="auto"/>
              </w:rPr>
              <w:t>issued under share-based compensation</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plans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Common stock dividends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Acquisition of noncontrolling interests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Balance, June 30, 2025</w:t>
            </w: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3,053,572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97,079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(68,012)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5,298,205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(2,276,283)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_________</w:t>
      </w:r>
    </w:p>
    <w:p>
      <w:pPr>
        <w:spacing w:after="0" w:line="48" w:lineRule="exact"/>
        <w:rPr>
          <w:sz w:val="20"/>
          <w:szCs w:val="20"/>
          <w:color w:val="auto"/>
        </w:rPr>
      </w:pPr>
    </w:p>
    <w:p>
      <w:pPr>
        <w:ind w:left="400" w:hanging="395"/>
        <w:spacing w:after="0"/>
        <w:tabs>
          <w:tab w:leader="none" w:pos="4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cumulative foreign currency translation adjustments and post-retirement liability adjustments.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instructions to Form 10-Q and Rule 10-01 of Regulation S-X. Consequently, certain information and note disclosures normally included in financial statements prepared in accordance with accounting principles generally accepted in the United States (“U.S. GAAP”) have been condensed or omitted. References to the “Company,” “EMCOR,” “we,” “us,” “our,” and similar words refer to EMCOR Group, Inc. and its consolidated subsidiaries unless the context indicates otherwise. Readers of this report should refer to the consolidated financial statements and the notes thereto included in our latest Annual Report on Form 10-K filed with the Securities and Exchange Commission.</w:t>
      </w:r>
    </w:p>
    <w:p>
      <w:pPr>
        <w:spacing w:after="0" w:line="1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our opinion, the accompanying unaudited consolidated financial statements contain all adjustments (consisting only of those of a normal recurring nature) necessary to present fairly our financial position and the results of our operations.</w:t>
      </w:r>
    </w:p>
    <w:p>
      <w:pPr>
        <w:spacing w:after="0" w:line="10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2025 are not necessarily indicative of the results to be expected for the year ending December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New Accounting Pronouncements</w:t>
      </w:r>
    </w:p>
    <w:p>
      <w:pPr>
        <w:spacing w:after="0" w:line="124"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In December 2023, the Financial Accounting Standards Board (the “FASB”) issued an Accounting Standards Update (“ASU”) intended to enhance the transparency and decision-usefulness of income tax disclosures. Such guidance requires entities to provide additional information within their income tax rate reconciliation, including further disclosure of federal, state, and foreign income taxes and to provide more details about these reconciling items if a quantitative threshold is met. This guidance additionally requires expanded disclosure of income taxes paid, including amounts paid for federal, state, and foreign taxes. This ASU, which is required to be applied prospectively, is effective for fiscal years beginning after December 15, 2024, although early adoption and retrospective application is permitted. While the adoption of this ASU will not have an impact on our financial position and/or results of operations, we are currently evaluating the impact on our income tax disclosures, including the processes and controls around the collection of this information.</w:t>
      </w:r>
    </w:p>
    <w:p>
      <w:pPr>
        <w:spacing w:after="0" w:line="68"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November 2024, the FASB issued an ASU, which requires disaggregated disclosures, in the notes to the financial statements, about certain income statement expense line items on an interim and annual basis. This guidance requires entities to provide more detailed information about purchases of inventory, employee compensation, depreciation expense, intangible asset amortization, and selling expenses. Such guidance, which is required to be applied prospectively, is effective for fiscal years beginning after December 15, 2026, and interim periods within fiscal years beginning after December 15, 2027, although early adoption and retrospective application is permitted. While the adoption of this ASU will not have an impact on our financial position and/or results of operations, we are currently evaluating the impact on our financial statement disclosures, including the processes and controls around the collection of this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recognizes revenue when it transfers promised goods or services to customers in an amount that reflects the consideration to which we expect to be entitled in exchange for those goods or services by applying the following five step model: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Identify the contract with a customer</w:t>
      </w:r>
    </w:p>
    <w:p>
      <w:pPr>
        <w:spacing w:after="0" w:line="137"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A contract with a customer exists when: (a) the parties have approved the contract and are committed to perform their respective obligations, (b) the rights of the parties can be identified, (c) payment terms can be identified, (d) the arrangement has commercial substance, and (e) collectability of consideration is probable. Judgment is required when determining if the contractual criteria are met, specifically in the earlier stages of a project when a formally executed contract may not yet exist. In these situations, the Company evaluates all relevant facts and circumstances, including the existence of other forms of documentation or historical experience with our customers that may indicate a contractual agreement is in place and revenue should be recognized. In determining if the collectability of consideration is probable, the Company considers the customer’s ability and intention to pay such consideration through an evaluation of several factors, including an assessment of the creditworthiness of the customer and our prior collection history with such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Identify the performance obligations in the contract</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in a contract and identifies, as a separate performance obligation, each distinct promise to transfer goods or services to the customer. The identified performance obligations represent the “unit of account” for purposes of determining revenue recognition. In order to properly identify separate performance obligations, the Company applies judgment in determining whether each good or service provided is: (a) capable of being distinct, whereby the customer can benefit from the good or service either on its own or together with other resources that are readily available to the customer, and (b) distinct within the context of the contract, whereby the transfer of the good or service to the customer is separately identifiable from other promises in the contract.</w:t>
      </w:r>
    </w:p>
    <w:p>
      <w:pPr>
        <w:spacing w:after="0" w:line="1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addition, when assessing performance obligations within a contract, the Company considers the warranty provisions included within such contract. To the extent the warranty terms provide the customer with an additional service, other than assurance that the promised good or service complies with agreed upon specifications, such warranty is accounted for as a separate performance obligation. In determining whether a warranty provides an additional service, the Company considers each warranty provision in comparison to warranty terms which are standard in the industry.</w:t>
      </w:r>
    </w:p>
    <w:p>
      <w:pPr>
        <w:spacing w:after="0" w:line="118"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Our contracts are often modified through change orders to account for changes in the scope and price of the goods or services we are providing. Although the Company evaluates each change order to determine whether such modification creates a separate performance obligation, the majority of our change orders are for goods or services that are not distinct within the context of our original contract and, therefore, are not treated as separate performance obligations.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150"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transaction price represents the amount of consideration to which the Company expects to be entitled in exchange for transferring promised goods or services to our customers. The consideration promised within a contract may include fixed amounts, variable amounts, or both. To the extent the performance obligation includes variable consideration, including contract bonuses and penalties that can either increase or decrease the transaction price, the Company estimates the amount of variable consideration to be included in the transaction price utilizing one of two prescribed methods, depending on which method better predicts the amount of consideration to which the entity will be entitled. Such methods include: (a) the expected value method, whereby the amount of variable consideration to be recognized represents the sum of probability-weighted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 The expected value method is typically utilized in situations where a contract contains a large number of possible outcomes while the most likely amount method is typically utilized in situations where a contract has only two possible outcomes.</w:t>
      </w:r>
    </w:p>
    <w:p>
      <w:pPr>
        <w:spacing w:after="0" w:line="129"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Variable consideration is included in the transaction price only to the extent it is probable, in the Company’s judgment, that a significant future reversal in the amount of cumulative revenue recognized under the contract will not occur when the uncertainty associated with the variable consideration is subsequently resolved. This threshold is referred to as the variable consideration constraint. In assessing whether to apply the variable consideration constraint, the Company considers if factors exist that could increase the likelihood or the magnitude of a potential reversal of revenue, including, but not limited to, whether: (a) the amount of consideration is highly susceptible to factors outside of the Company’s influence, such as the actions of third parties, (b) the uncertainty surrounding the amount of consideration is not expected to be resolved for a long period of time, (c) the Company’s experience with similar types of contracts is limited or that experience has limited predictive value, (d) the Company has a practice of either offering a broad range of price concessions or changing the payment terms and conditions of similar contracts in similar circumstances, and (e) the contract has a large number and broad range of possible consideration amounts.</w:t>
      </w:r>
    </w:p>
    <w:p>
      <w:pPr>
        <w:spacing w:after="0" w:line="8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Pending change orders represent one of the most common forms of variable consideration included within contract value and typically represent contract modifications for which a change in scope has been authorized or acknowledged by our customer but the final adjustment to contract price is yet to be negotiated. In estimating the transaction price for pending change orders, the Company considers all relevant facts, including documented correspondence with the customer regarding acknowledgment of and/or agreement with the modification, as well as historical experience with the customer or similar contractual circumstances. Based upon this assessment, the Company estimates the transaction price, including whether the variable consideration constraint should be applied.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3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Contract claims are another form of variable consideration which is common within our industry. Claim amounts represent revenue that has been recognized for contract modifications that are not submitted or are in dispute as to both scope and price. In estimating the transaction price for claims, the Company considers all relevant facts available. However, given the uncertainty surrounding claims, including the potential long-term nature of dispute resolution and the broad range of possible consideration amounts, there is an increased likelihood that any additional contract revenue associated with contract claims is constrained. The resolution of claims involves negotiations and, in certain cases, litigation. In the event litigation costs are incurred by us in connection with claims, such litigation costs are expensed as incurred, although we may seek to recover these costs.</w:t>
      </w:r>
    </w:p>
    <w:p>
      <w:pPr>
        <w:spacing w:after="0" w:line="11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For some transactions, the receipt of consideration does not match the timing of the transfer of goods or services to the customer. For such contracts, the Company evaluates whether this timing difference represents a financing arrangement within the contract. Although rare, if a contract is determined to contain a significant financing component, the Company adjusts the promised amount of consideration for the effects of the time value of money when determining the transaction price of such contract. Although our customers may retain a portion of the contract price until completion of the project and final contract settlement, these retainage amounts are not considered a significant financing component as the intent of the withheld amounts is to provide the customer with assurance that we will complete our obligations under the contract rather than to provide financing to the customer. In addition, although we may be entitled to advanced payments from our customers on certain contracts, these advanced payments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spacing w:after="0" w:line="12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Changes in the estimates of transaction prices are recognized on a cumulative catch-up basis in the period in which the revisions to the estimates are made. Such changes in estimates can result in the recognition of revenue in a current period for performance obligations which were satisfied or partially satisfied in prior periods. Such changes in estimates may also result in the reversal of previously recognized revenue if the ultimate outcome differs from the Company’s previous estimate.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the performance obligations in the contract</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Company determines the standalone selling price based on the price at which the performance obligation would have been sold separately in similar circumstances to similar customers. If the standalone selling price is not observable, the Company estimates the standalone selling price taking into account all available information such as market conditions and internal pricing guidelines. In certain circumstances, the standalone selling price is determined using an expected profit margin on anticipated costs related to the performance obligation.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Recognize revenue as performance obligations are satisfied</w:t>
      </w:r>
    </w:p>
    <w:p>
      <w:pPr>
        <w:spacing w:after="0" w:line="13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 recognizes revenue at the time the related performance obligation is satisfied by transferring a promised good or service to its customers. A good or service is considered to be transferred when the customer obtains control. The Company can transfer control of a good or service and satisfy its performance obligations either over time or at a point in time. The Company transfers control of a good or service over time and, therefore, satisfies a performance obligation and recognizes revenue over time if one of the following three criteria are met: (a) the customer simultaneously receives and consumes the benefits provided by the Company’s performance as we perform, (b) the Company’s performance creates or enhances an asset that the customer controls as the asset is created or enhanced, or (c) the Company’s performance does not create an asset with an alternative use to us, and we have an enforceable right to payment for performance completed to date.</w:t>
      </w:r>
    </w:p>
    <w:p>
      <w:pPr>
        <w:spacing w:after="0" w:line="12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our performance obligations satisfied over time, we recognize revenue by measuring the progress toward complete satisfaction of that performance obligation. The selection of the method to measure progress towards completion can be either an input method or an output method and requires judgment based on the nature of the goods or services 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3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For our construction contracts, revenue is generally recognized over time as our performance creates or enhances an asset that the customer controls as it is created or enhanced. Our fixed price construction projects generally use a cost-to-cost input method to measure our progress towards complete satisfaction of the performance obligation as we believe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For our unit price construction contracts, progress towards complete satisfaction is measured through an output method, such as the number of units produced or delivered, when our performance does not produce significant amounts of work in process or finished goods prior to complete satisfaction of such performance obligations.</w:t>
      </w:r>
    </w:p>
    <w:p>
      <w:pPr>
        <w:spacing w:after="0" w:line="12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For our services contracts, revenue is also generally recognized over time as the customer simultaneously receives and consumes the benefits of our performance as we perform the service. For our fixed price service contracts with specified service periods, revenue is generally recognized on a straight-line basis over such service period when our inputs are expended evenly and the customer receives and consumes the benefits of our performance throughout the contract term.</w:t>
      </w:r>
    </w:p>
    <w:p>
      <w:pPr>
        <w:spacing w:after="0" w:line="11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timing of revenue recognition for the manufacturing of new build heat exchangers within our United States industrial services segment depends on the payment terms of the contract, as our performance does not create an asset with an alternative use to us. For those contracts for which we have a right to payment for performance completed to date at all times throughout our performance, inclusive of a cancellation, we recognize revenue over time. For these performance obligations, we use a cost-to-cost input method to measure our progress towards complete satisfaction of the performance obligation as we believe it best depicts the transfer of control to the customer which occurs as we incur costs on our contracts. However, for those contracts for which we do not have a right, at all times, to payment for performance completed to date, we recognize revenue at the point in time when control is transferred to the customer. For bill-and-hold arrangements, revenue is recognized when the customer obtains control of the heat exchanger, which may be prior to shipping if certain recognition criteria are met.</w:t>
      </w:r>
    </w:p>
    <w:p>
      <w:pPr>
        <w:spacing w:after="0" w:line="1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certain of our revenue streams, such as call-out repair and service work, outage services, refinery turnarounds, and specialty welding services that are performed under time and materials contracts, our progress towards complete satisfaction of such performance obligations is measured using an output method as the customer receives and consumes the benefits of our performance completed to date.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Estimates</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Due to uncertainties inherent in the estimation process, as well as the significant judgment involved in determining variable consideration, it is possible that estimates of costs to complete a performance obligation, and/or our estimates of transaction prices, will be revised in the near term. For those performance obligations for which revenue is recognized using a cost-to-cost input method, changes in total estimated costs, and related progress towards complete satisfaction of the performance obligation, or changes in the estimate of transaction prices, are recognized on a cumulative catch-up basis in the period in which the revisions to the estimates are made. When the current estimate of total costs for a performance obligation indicates a loss, a provision for the entire estimated loss on the unsatisfied performance obligation is made in the period in which the loss becomes evident.</w:t>
      </w:r>
    </w:p>
    <w:p>
      <w:pPr>
        <w:spacing w:after="0" w:line="1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Based on an evaluation of individual projects that were substantially complete in prior periods but had revisions to total estimated costs or anticipated contract value (inclusive of the settlement of previously outstanding change orders and claims) that resulted in an increase to profitability in excess of $1.0 million, we recognized revenue during the three and six months ended June 30, 2025 and 2024, as summarized in the following table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7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3"/>
                <w:szCs w:val="13"/>
                <w:color w:val="auto"/>
              </w:rPr>
            </w:pPr>
          </w:p>
        </w:tc>
        <w:tc>
          <w:tcPr>
            <w:tcW w:w="2340" w:type="dxa"/>
            <w:vAlign w:val="bottom"/>
            <w:gridSpan w:val="4"/>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0"/>
        </w:trPr>
        <w:tc>
          <w:tcPr>
            <w:tcW w:w="58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0"/>
        </w:trPr>
        <w:tc>
          <w:tcPr>
            <w:tcW w:w="58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r>
      <w:tr>
        <w:trPr>
          <w:trHeight w:val="224"/>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3,823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8,461</w:t>
            </w:r>
          </w:p>
        </w:tc>
      </w:tr>
      <w:tr>
        <w:trPr>
          <w:trHeight w:val="242"/>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impact</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6,196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3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Based on an evaluation of individual projects that had revisions to total estimated costs or anticipated contract value that resulted in a reduction of profitability in excess of $1.0 million, our operating results were negatively impacted during the three and six months ended June 30, 2025 and 2024, as summarized in the following table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3"/>
                <w:szCs w:val="13"/>
                <w:color w:val="auto"/>
              </w:rPr>
            </w:pPr>
          </w:p>
        </w:tc>
        <w:tc>
          <w:tcPr>
            <w:tcW w:w="2340" w:type="dxa"/>
            <w:vAlign w:val="bottom"/>
            <w:gridSpan w:val="4"/>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0"/>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0"/>
        </w:trPr>
        <w:tc>
          <w:tcPr>
            <w:tcW w:w="58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16,485</w:t>
            </w:r>
          </w:p>
        </w:tc>
      </w:tr>
      <w:tr>
        <w:trPr>
          <w:trHeight w:val="224"/>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20,587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25,831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14,620</w:t>
            </w:r>
          </w:p>
        </w:tc>
      </w:tr>
      <w:tr>
        <w:trPr>
          <w:trHeight w:val="242"/>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impact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35,465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50,351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31,105</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revenues are principally derived from contracts to provide construction services relating to electrical and mechanical systems, as well as to provide a number of building services and industrial services to our customers. Our contracts are with many different customers in numerous industries.</w:t>
      </w:r>
    </w:p>
    <w:p>
      <w:pPr>
        <w:spacing w:after="0" w:line="1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tables provide further disaggregation of our revenues, by categories we use to evaluate our financial performance within each of our reportable segments, for the three and six months ended June 30, 2025 and 2024 (in thousands, except for percentages). Refer to Note 14 - Segment Information of the notes to consolidated financial statements for additional information on how we disaggregate our revenues by reportable segment.</w:t>
      </w:r>
    </w:p>
    <w:p>
      <w:pPr>
        <w:spacing w:after="0" w:line="38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1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340"/>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90"/>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1"/>
        </w:trPr>
        <w:tc>
          <w:tcPr>
            <w:tcW w:w="6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electrical construction and facilities services:</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and communications market sector</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669,966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industrial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133,680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High-tech manufacturing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and wastewater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 and entertainment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Short-duration projects </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work</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7"/>
        </w:trPr>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1,341,883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801,587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1,340,247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799,994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________</w:t>
      </w:r>
    </w:p>
    <w:p>
      <w:pPr>
        <w:spacing w:after="0" w:line="61" w:lineRule="exact"/>
        <w:rPr>
          <w:sz w:val="20"/>
          <w:szCs w:val="20"/>
          <w:color w:val="auto"/>
        </w:rPr>
      </w:pPr>
    </w:p>
    <w:p>
      <w:pPr>
        <w:ind w:left="400" w:hanging="395"/>
        <w:spacing w:after="0"/>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those projects which generally are completed within three months or less.</w:t>
      </w:r>
    </w:p>
    <w:p>
      <w:pPr>
        <w:sectPr>
          <w:pgSz w:w="11900" w:h="16838" w:orient="portrait"/>
          <w:cols w:equalWidth="0" w:num="1">
            <w:col w:w="11240"/>
          </w:cols>
          <w:pgMar w:left="320" w:top="3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80" w:type="dxa"/>
            <w:vAlign w:val="bottom"/>
            <w:gridSpan w:val="5"/>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0"/>
                <w:szCs w:val="10"/>
                <w:color w:val="auto"/>
              </w:rPr>
            </w:pPr>
          </w:p>
        </w:tc>
        <w:tc>
          <w:tcPr>
            <w:tcW w:w="1080" w:type="dxa"/>
            <w:vAlign w:val="bottom"/>
            <w:gridSpan w:val="2"/>
          </w:tcPr>
          <w:p>
            <w:pPr>
              <w:ind w:left="340"/>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0"/>
                <w:szCs w:val="10"/>
                <w:color w:val="auto"/>
              </w:rPr>
            </w:pPr>
          </w:p>
        </w:tc>
        <w:tc>
          <w:tcPr>
            <w:tcW w:w="10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980" w:type="dxa"/>
            <w:vAlign w:val="bottom"/>
          </w:tcPr>
          <w:p>
            <w:pPr>
              <w:jc w:val="right"/>
              <w:ind w:right="270"/>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1"/>
        </w:trPr>
        <w:tc>
          <w:tcPr>
            <w:tcW w:w="6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mechanical construction and facilities services:</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and communications market sector</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389,676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174,623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217,007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industrial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229,622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204,649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High-tech manufacturing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281,434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376,876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126,030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and wastewater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 and entertainment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Short-duration projects </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work</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152,773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7"/>
        </w:trPr>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1,756,632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1,656,931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1,755,258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1,655,181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________</w:t>
      </w:r>
    </w:p>
    <w:p>
      <w:pPr>
        <w:spacing w:after="0" w:line="6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(1)</w:t>
        <w:tab/>
        <w:t>Represents those projects which generally are completed within three months or less.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4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5"/>
          </w:tcPr>
          <w:p>
            <w:pPr>
              <w:ind w:left="34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34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building services:</w:t>
            </w: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Mechanical services</w:t>
            </w:r>
          </w:p>
        </w:tc>
        <w:tc>
          <w:tcPr>
            <w:tcW w:w="3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619,516</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581,735</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 site-based services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133,560</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151,872</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site-based services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40,183</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47,501</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5"/>
          </w:tcPr>
          <w:p>
            <w:pPr>
              <w:ind w:left="32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34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industrial services:</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services</w:t>
            </w:r>
          </w:p>
        </w:tc>
        <w:tc>
          <w:tcPr>
            <w:tcW w:w="3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241,930</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275,871</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Shop services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39,142</w:t>
            </w:r>
          </w:p>
        </w:tc>
        <w:tc>
          <w:tcPr>
            <w:tcW w:w="108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48,176</w:t>
            </w:r>
          </w:p>
        </w:tc>
        <w:tc>
          <w:tcPr>
            <w:tcW w:w="110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281,072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324,047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tcBorders>
              <w:bottom w:val="single" w:sz="8" w:color="CCEEFF"/>
            </w:tcBorders>
          </w:tcPr>
          <w:p>
            <w:pPr>
              <w:spacing w:after="0"/>
              <w:rPr>
                <w:sz w:val="13"/>
                <w:szCs w:val="13"/>
                <w:color w:val="auto"/>
              </w:rPr>
            </w:pPr>
          </w:p>
        </w:tc>
        <w:tc>
          <w:tcPr>
            <w:tcW w:w="6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4,169,836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3,560,330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5"/>
          </w:tcPr>
          <w:p>
            <w:pPr>
              <w:ind w:left="34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tcPr>
          <w:p>
            <w:pPr>
              <w:ind w:left="36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Kingdom building services:</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work</w:t>
            </w:r>
          </w:p>
        </w:tc>
        <w:tc>
          <w:tcPr>
            <w:tcW w:w="3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69,661</w:t>
            </w:r>
          </w:p>
        </w:tc>
        <w:tc>
          <w:tcPr>
            <w:tcW w:w="11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51,160</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work</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64,903</w:t>
            </w:r>
          </w:p>
        </w:tc>
        <w:tc>
          <w:tcPr>
            <w:tcW w:w="11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55,407</w:t>
            </w: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6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tcPr>
          <w:p>
            <w:pPr>
              <w:spacing w:after="0"/>
              <w:rPr>
                <w:sz w:val="13"/>
                <w:szCs w:val="13"/>
                <w:color w:val="auto"/>
              </w:rPr>
            </w:pPr>
          </w:p>
        </w:tc>
        <w:tc>
          <w:tcPr>
            <w:tcW w:w="6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4,304,400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3,666,897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25" w:right="3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 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1080" w:type="dxa"/>
            <w:vAlign w:val="bottom"/>
            <w:gridSpan w:val="2"/>
          </w:tcPr>
          <w:p>
            <w:pPr>
              <w:ind w:left="34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1"/>
                <w:szCs w:val="11"/>
                <w:color w:val="auto"/>
              </w:rPr>
            </w:pPr>
          </w:p>
        </w:tc>
        <w:tc>
          <w:tcPr>
            <w:tcW w:w="10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980" w:type="dxa"/>
            <w:vAlign w:val="bottom"/>
          </w:tcPr>
          <w:p>
            <w:pPr>
              <w:ind w:left="34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electrical construction and facilities services:</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and communications market sector</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1,186,303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634,561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industrial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209,633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203,926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High-tech manufacturing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and wastewater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 and entertainment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Short-duration projects </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work</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7"/>
        </w:trPr>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2,431,833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1,566,789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2,428,091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1,564,705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________</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(1)   Represents those projects which generally are completed within three months or less.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6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 30,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0"/>
                <w:szCs w:val="10"/>
                <w:color w:val="auto"/>
              </w:rPr>
            </w:pPr>
          </w:p>
        </w:tc>
        <w:tc>
          <w:tcPr>
            <w:tcW w:w="1080" w:type="dxa"/>
            <w:vAlign w:val="bottom"/>
            <w:gridSpan w:val="2"/>
          </w:tcPr>
          <w:p>
            <w:pPr>
              <w:ind w:left="340"/>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0"/>
                <w:szCs w:val="10"/>
                <w:color w:val="auto"/>
              </w:rPr>
            </w:pPr>
          </w:p>
        </w:tc>
        <w:tc>
          <w:tcPr>
            <w:tcW w:w="10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980" w:type="dxa"/>
            <w:vAlign w:val="bottom"/>
          </w:tcPr>
          <w:p>
            <w:pPr>
              <w:ind w:left="340"/>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1"/>
        </w:trPr>
        <w:tc>
          <w:tcPr>
            <w:tcW w:w="6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mechanical construction and facilities services:</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and communications market sector</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720,037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305,704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industrial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407,523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392,375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High-tech manufacturing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563,805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687,806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197,567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and wastewater market sector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166,687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 and entertainment market sector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Short-duration projects </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work</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299,144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277,515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7"/>
        </w:trPr>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3,330,253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3,085,912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3,327,860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3,082,846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w:t>
      </w:r>
    </w:p>
    <w:p>
      <w:pPr>
        <w:spacing w:after="0" w:line="11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(1)</w:t>
        <w:tab/>
        <w:t>Represents those projects which generally are completed within three months or less.</w:t>
      </w:r>
    </w:p>
    <w:p>
      <w:pPr>
        <w:sectPr>
          <w:pgSz w:w="11900" w:h="16838" w:orient="portrait"/>
          <w:cols w:equalWidth="0" w:num="1">
            <w:col w:w="11200"/>
          </w:cols>
          <w:pgMar w:left="320" w:top="3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325" w:right="3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ind w:left="34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tcPr>
          <w:p>
            <w:pPr>
              <w:spacing w:after="0"/>
              <w:rPr>
                <w:sz w:val="11"/>
                <w:szCs w:val="11"/>
                <w:color w:val="auto"/>
              </w:rPr>
            </w:pPr>
          </w:p>
        </w:tc>
        <w:tc>
          <w:tcPr>
            <w:tcW w:w="10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000" w:type="dxa"/>
            <w:vAlign w:val="bottom"/>
          </w:tcPr>
          <w:p>
            <w:pPr>
              <w:ind w:left="36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building services: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Mechanical services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1,178,002</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1,095,883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4"/>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site-based services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276,869</w:t>
            </w:r>
          </w:p>
        </w:tc>
        <w:tc>
          <w:tcPr>
            <w:tcW w:w="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4"/>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site-based services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81,011</w:t>
            </w: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7"/>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1,535,882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1,562,268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 30,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ind w:left="34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tcPr>
          <w:p>
            <w:pPr>
              <w:spacing w:after="0"/>
              <w:rPr>
                <w:sz w:val="11"/>
                <w:szCs w:val="11"/>
                <w:color w:val="auto"/>
              </w:rPr>
            </w:pPr>
          </w:p>
        </w:tc>
        <w:tc>
          <w:tcPr>
            <w:tcW w:w="10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000" w:type="dxa"/>
            <w:vAlign w:val="bottom"/>
          </w:tcPr>
          <w:p>
            <w:pPr>
              <w:ind w:left="36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industrial services:</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services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559,597</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585,672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24"/>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Shop services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80,477</w:t>
            </w:r>
          </w:p>
        </w:tc>
        <w:tc>
          <w:tcPr>
            <w:tcW w:w="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92,428</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640,074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678,100</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7,931,907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6,887,919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 30,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2"/>
          </w:tcPr>
          <w:p>
            <w:pPr>
              <w:ind w:left="340"/>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tcPr>
          <w:p>
            <w:pPr>
              <w:spacing w:after="0"/>
              <w:rPr>
                <w:sz w:val="10"/>
                <w:szCs w:val="10"/>
                <w:color w:val="auto"/>
              </w:rPr>
            </w:pPr>
          </w:p>
        </w:tc>
        <w:tc>
          <w:tcPr>
            <w:tcW w:w="10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1000" w:type="dxa"/>
            <w:vAlign w:val="bottom"/>
          </w:tcPr>
          <w:p>
            <w:pPr>
              <w:ind w:left="360"/>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1"/>
        </w:trPr>
        <w:tc>
          <w:tcPr>
            <w:tcW w:w="6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Kingdom building services: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work</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117,692</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4"/>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Project work</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122,173</w:t>
            </w: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110,250</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42"/>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239,865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211,254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8,171,772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7,099,173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Accounts receivable are recognized in the period we deliver goods and services to our customers or when our right to consideration is unconditional. The Company maintains an allowance for credit losses to reduce outstanding receivables to their net realizable value. Judgment is required when determining expected credit losses. Estimates of such losses are recorded when we believe a customer, or group of customers, may not be able to meet their financial obligations due to deterioration in financial condition or credit rating. Factors relevant to our assessment include our prior collection history with our customers, the related aging of past due balances, projections of credit losses based on historical trends in credit quality indicators or past events, and forecasts of future economic conditions. In addition to monitoring delinquent accounts, management reviews the credit quality of its receivables by, among other things, obtaining credit ratings of significant customers, assessing economic and market conditions, and evaluating material changes to a customer’s business, cash flows, and financial condition.</w:t>
      </w:r>
    </w:p>
    <w:p>
      <w:pPr>
        <w:spacing w:after="0" w:line="12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At June 30, 2025 and December 31, 2024, our allowance for credit losses was $27.5 million and $35.0 million, respectively. Allowances for credit losses are based on the best facts available and are reassessed and adjusted on a regular basis as additional information is received. Should anticipated collections fail to materialize, or if future economic conditions compare unfavorably to our forecasts, we could experience an increase in our credit losses.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change in the allowance for credit losses for the six months ended June 30, 2025 was as follows (in thousands):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06"/>
        </w:trPr>
        <w:tc>
          <w:tcPr>
            <w:tcW w:w="9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34,957</w:t>
            </w:r>
          </w:p>
        </w:tc>
      </w:tr>
      <w:tr>
        <w:trPr>
          <w:trHeight w:val="22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w:t>
            </w:r>
          </w:p>
        </w:tc>
      </w:t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 against the allowance, net of recoveries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w:t>
            </w:r>
          </w:p>
        </w:tc>
      </w:tr>
      <w:tr>
        <w:trPr>
          <w:trHeight w:val="217"/>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27,521</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25"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3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decrease in our allowance for credit losses was due to the write-off of specific receivables which were previously reserved for within our United States building services segment, partially offset by the provision for credit losses recorded during the six months ended June 30, 2025, which included a $5.0 million increase in the allowance for credit losses within our United States industrial services segment.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50"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The timing of revenue recognition may differ from the timing of invoicing to customers. Contract assets include unbilled amounts from our construction projects when revenues recognized under the cost-to-cost measure of progress exceed the amounts invoiced to our customers, as the amounts are not yet billable under the terms of our contracts. Such amounts are recoverable from our customers based upon various measures of performance, including achievement of certain milestones, completion of specified units, or completion of a contract. In addition, many of our time and materials arrangements, as well as our contracts to perform turnaround services within the United States industrial services segment, are billed in arrears pursuant to contract terms that are standard within the industry, resulting in contract assets and/or unbilled receivables being recorded as revenue is recognized in advance of billings.</w:t>
      </w:r>
    </w:p>
    <w:p>
      <w:pPr>
        <w:spacing w:after="0" w:line="7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Also included in contract assets are amounts we seek or will seek to collect from customers or others for errors or changes in contract specifications or design, contract change orders or modifications in dispute or unapproved as to scope and/or price, or other customer-related causes of unanticipated additional contract costs (claims and unapproved change orders). Our contract assets do not include capitalized costs to obtain and fulfill a contract. Contract assets are generally classified as current within the Consolidated Balance Sheets.</w:t>
      </w:r>
    </w:p>
    <w:p>
      <w:pPr>
        <w:spacing w:after="0" w:line="118"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Contract liabilities from our construction contracts arise when amounts invoiced to our customers exceed revenues recognized under the cost-to-cost measure of progress. Contract liabilities additionally include advanced payments from our customers on certain contracts. Contract liabilities decrease as we recognize revenue from the satisfaction of the related performance obligation and are recorded as either current or long-term, depending upon when we expect to recognize such revenue. The long-term portion of contract liabilities is included in “Other long-term obligations” in the Consolidated Balance Sheets.</w:t>
      </w:r>
    </w:p>
    <w:p>
      <w:pPr>
        <w:spacing w:after="0" w:line="8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Net contract liabilities in the accompanying Consolidated Balance Sheets consisted of the following amounts as of June 30, 2025 and December 31, 2024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0"/>
        </w:trPr>
        <w:tc>
          <w:tcPr>
            <w:tcW w:w="8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current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284,791</w:t>
            </w:r>
          </w:p>
        </w:tc>
        <w:tc>
          <w:tcPr>
            <w:tcW w:w="0" w:type="dxa"/>
            <w:vAlign w:val="bottom"/>
          </w:tcPr>
          <w:p>
            <w:pPr>
              <w:spacing w:after="0"/>
              <w:rPr>
                <w:sz w:val="1"/>
                <w:szCs w:val="1"/>
                <w:color w:val="auto"/>
              </w:rPr>
            </w:pPr>
          </w:p>
        </w:tc>
      </w:tr>
      <w:tr>
        <w:trPr>
          <w:trHeight w:val="224"/>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non-current</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(2,047,540)</w:t>
            </w:r>
          </w:p>
        </w:tc>
        <w:tc>
          <w:tcPr>
            <w:tcW w:w="0" w:type="dxa"/>
            <w:vAlign w:val="bottom"/>
          </w:tcPr>
          <w:p>
            <w:pPr>
              <w:spacing w:after="0"/>
              <w:rPr>
                <w:sz w:val="1"/>
                <w:szCs w:val="1"/>
                <w:color w:val="auto"/>
              </w:rPr>
            </w:pPr>
          </w:p>
        </w:tc>
      </w:tr>
      <w:tr>
        <w:trPr>
          <w:trHeight w:val="224"/>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42"/>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(1,789,026)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(1,764,275)</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Contract assets and contract liabilities increased by approximately $31.2 million and $101.0 million, respectively, as a result of acquisitions made by us in 2025. Excluding the impact of acquisitions, net contract liabilities decreased by approximately $45.1 million during the six months ended June 30, 2025, as: (a) we recognized revenue on a number of construction projects for which we were previously billed ahead and (b) we are currently underbilled on certain contracts where we anticipate invoicing as contractual milestones are achieved. There was no significant impairment of contract assets recognized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56" w:lineRule="exact"/>
        <w:rPr>
          <w:sz w:val="20"/>
          <w:szCs w:val="20"/>
          <w:color w:val="auto"/>
        </w:rPr>
      </w:pPr>
    </w:p>
    <w:p>
      <w:pPr>
        <w:ind w:right="5600"/>
        <w:spacing w:after="0" w:line="456" w:lineRule="auto"/>
        <w:rPr>
          <w:sz w:val="20"/>
          <w:szCs w:val="20"/>
          <w:color w:val="auto"/>
        </w:rPr>
      </w:pPr>
      <w:r>
        <w:rPr>
          <w:rFonts w:ascii="Times New Roman" w:cs="Times New Roman" w:eastAsia="Times New Roman" w:hAnsi="Times New Roman"/>
          <w:sz w:val="16"/>
          <w:szCs w:val="16"/>
          <w:b w:val="1"/>
          <w:bCs w:val="1"/>
          <w:color w:val="auto"/>
        </w:rPr>
        <w:t xml:space="preserve">NOTE 3 - Revenue from Contracts with Customers (Continued) </w:t>
      </w:r>
      <w:r>
        <w:rPr>
          <w:rFonts w:ascii="Times New Roman" w:cs="Times New Roman" w:eastAsia="Times New Roman" w:hAnsi="Times New Roman"/>
          <w:sz w:val="16"/>
          <w:szCs w:val="16"/>
          <w:i w:val="1"/>
          <w:iCs w:val="1"/>
          <w:color w:val="auto"/>
        </w:rPr>
        <w:t>Transaction Price Allocated to Remaining Unsatisfied Performance Obligations</w:t>
      </w: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transaction price allocated to remaining unsatisfied performance obligations (“remaining performance obligations”) for each of our reportable segments and their respective percentages of total remaining performance obligations as of June 30, 2025 (in thousands, except for percentages):</w:t>
      </w:r>
    </w:p>
    <w:p>
      <w:pPr>
        <w:spacing w:after="0" w:line="5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30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4,198,244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4"/>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5,975,201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1,313,603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4"/>
        </w:trPr>
        <w:tc>
          <w:tcPr>
            <w:tcW w:w="8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221,102</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11,708,150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4"/>
        </w:trPr>
        <w:tc>
          <w:tcPr>
            <w:tcW w:w="8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206,238</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2"/>
        </w:trPr>
        <w:tc>
          <w:tcPr>
            <w:tcW w:w="8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operations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11,914,388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Our remaining performance obligations at June 30, 2025 were approximately $11.91 billion. Remaining performance obligations increase with awards of new contracts and decrease as we perform work and recognize revenue on existing contracts. We include a project within our remaining performance obligations at such time the project is awarded and agreement on contract terms has been reached. Our remaining performance obligations include amounts related to contracts for which a fixed price contract value is not assigned when a reasonable estimate of the total transaction price can be made.</w:t>
      </w:r>
    </w:p>
    <w:p>
      <w:pPr>
        <w:spacing w:after="0" w:line="7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Remaining performance obligations include unrecognized revenues to be realized from uncompleted construction contracts. Although many of our construction contracts are subject to cancellation at the election of our customers, in accordance with industry practice, we do not limit the amount of unrecognized revenue included within remaining performance obligations for these contracts as the risk of cancellation is very low due to the inherent substantial economic penalty that our customers would incur upon cancellation or termination. We believe our reported remaining performance obligations for our construction contracts are firm and contract cancellations have not had a material adverse effect on us.</w:t>
      </w:r>
    </w:p>
    <w:p>
      <w:pPr>
        <w:spacing w:after="0" w:line="11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Remaining performance obligations also include unrecognized revenues expected to be realized over the remaining term of service contracts. However, to the extent a service contract includes a cancellation clause which allows for the termination of such contract by either party without a substantive penalty, the remaining contract term, and therefore, the amount of unrecognized revenues included within remaining performance obligations, is limited to the notice period required for the termination.</w:t>
      </w:r>
    </w:p>
    <w:p>
      <w:pPr>
        <w:spacing w:after="0" w:line="11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remaining performance obligations are comprised of: (a) original contract amounts, (b) change orders for which we have received written confirmations from our customers, (c) pending change orders for which we expect to receive confirmations in the ordinary course of business, (d) claim amounts that we have made against customers for which we have determined we have a legal basis under existing contractual arrangements and as to which the variable consideration constraint does not apply, and (e) other forms of variable consideration to the extent that such variable consideration has been included within the transaction price of our contracts. Such claim and other variable consideration amounts were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85"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Refer to the table below for additional information regarding our remaining performance obligations, including an estimate of when we expect to recognize such remaining performance obligations as revenue (in thousands):</w:t>
      </w:r>
    </w:p>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Within one year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Greater than one</w:t>
            </w:r>
          </w:p>
        </w:tc>
        <w:tc>
          <w:tcPr>
            <w:tcW w:w="0" w:type="dxa"/>
            <w:vAlign w:val="bottom"/>
          </w:tcPr>
          <w:p>
            <w:pPr>
              <w:spacing w:after="0"/>
              <w:rPr>
                <w:sz w:val="1"/>
                <w:szCs w:val="1"/>
                <w:color w:val="auto"/>
              </w:rPr>
            </w:pPr>
          </w:p>
        </w:tc>
      </w:tr>
      <w:tr>
        <w:trPr>
          <w:trHeight w:val="189"/>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10"/>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1,032,918</w:t>
            </w:r>
          </w:p>
        </w:tc>
        <w:tc>
          <w:tcPr>
            <w:tcW w:w="0" w:type="dxa"/>
            <w:vAlign w:val="bottom"/>
          </w:tcPr>
          <w:p>
            <w:pPr>
              <w:spacing w:after="0"/>
              <w:rPr>
                <w:sz w:val="1"/>
                <w:szCs w:val="1"/>
                <w:color w:val="auto"/>
              </w:rPr>
            </w:pPr>
          </w:p>
        </w:tc>
      </w:tr>
      <w:tr>
        <w:trPr>
          <w:trHeight w:val="224"/>
        </w:trPr>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4,634,816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1,340,385</w:t>
            </w:r>
          </w:p>
        </w:tc>
        <w:tc>
          <w:tcPr>
            <w:tcW w:w="0" w:type="dxa"/>
            <w:vAlign w:val="bottom"/>
          </w:tcPr>
          <w:p>
            <w:pPr>
              <w:spacing w:after="0"/>
              <w:rPr>
                <w:sz w:val="1"/>
                <w:szCs w:val="1"/>
                <w:color w:val="auto"/>
              </w:rPr>
            </w:pPr>
          </w:p>
        </w:tc>
      </w:tr>
      <w:tr>
        <w:trPr>
          <w:trHeight w:val="224"/>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119,466</w:t>
            </w:r>
          </w:p>
        </w:tc>
        <w:tc>
          <w:tcPr>
            <w:tcW w:w="0" w:type="dxa"/>
            <w:vAlign w:val="bottom"/>
          </w:tcPr>
          <w:p>
            <w:pPr>
              <w:spacing w:after="0"/>
              <w:rPr>
                <w:sz w:val="1"/>
                <w:szCs w:val="1"/>
                <w:color w:val="auto"/>
              </w:rPr>
            </w:pPr>
          </w:p>
        </w:tc>
      </w:tr>
      <w:tr>
        <w:trPr>
          <w:trHeight w:val="224"/>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9,213,767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2,494,383</w:t>
            </w:r>
          </w:p>
        </w:tc>
        <w:tc>
          <w:tcPr>
            <w:tcW w:w="0" w:type="dxa"/>
            <w:vAlign w:val="bottom"/>
          </w:tcPr>
          <w:p>
            <w:pPr>
              <w:spacing w:after="0"/>
              <w:rPr>
                <w:sz w:val="1"/>
                <w:szCs w:val="1"/>
                <w:color w:val="auto"/>
              </w:rPr>
            </w:pPr>
          </w:p>
        </w:tc>
      </w:tr>
      <w:tr>
        <w:trPr>
          <w:trHeight w:val="224"/>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38,760</w:t>
            </w:r>
          </w:p>
        </w:tc>
        <w:tc>
          <w:tcPr>
            <w:tcW w:w="0" w:type="dxa"/>
            <w:vAlign w:val="bottom"/>
          </w:tcPr>
          <w:p>
            <w:pPr>
              <w:spacing w:after="0"/>
              <w:rPr>
                <w:sz w:val="1"/>
                <w:szCs w:val="1"/>
                <w:color w:val="auto"/>
              </w:rPr>
            </w:pPr>
          </w:p>
        </w:tc>
      </w:tr>
      <w:tr>
        <w:trPr>
          <w:trHeight w:val="242"/>
        </w:trPr>
        <w:tc>
          <w:tcPr>
            <w:tcW w:w="86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9,381,245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2,533,143</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 of Businesses</w:t>
      </w:r>
    </w:p>
    <w:p>
      <w:pPr>
        <w:spacing w:after="0" w:line="8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Acquisitions are accounted for utilizing the acquisition method of accounting and the prices paid for them are allocated to their respective assets and liabilities based upon the estimated fair value of such assets and liabilities at the dates of their respective acquisition by us.</w:t>
      </w:r>
    </w:p>
    <w:p>
      <w:pPr>
        <w:spacing w:after="0" w:line="2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February 3, 2025, we completed the acquisition of Miller Electric Company (“Miller Electric”), a leading electrical contractor that operates predominantly across the Southeastern United States. Under the terms of the transaction, we acquired 100% of Miller Electric's capital stock for total cash consideration of approximately $868.6 million. This acquisition complements our existing electrical construction capabilities in high-growth end markets and expands our geographic presence. The results of operations of Miller Electric have been included within our United States electrical construction and facilities services segment. For the period from February 3, 2025 to June 30, 2025, such acquisition contributed revenues of $500.4 million and operating income of $21.8 million, net of amortization expense attributable to identifiable intangible assets of $18.4 million. During the first quarter of 2025, we incurred $9.4 million of transaction related costs in connection with this acquisition. These expenses were included in "Selling, general and administrative expenses" in the accompanying Consolidated Statement of Operations.</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as of the acquisition date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0"/>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3"/>
        </w:trPr>
        <w:tc>
          <w:tcPr>
            <w:tcW w:w="20" w:type="dxa"/>
            <w:vAlign w:val="bottom"/>
            <w:shd w:val="clear" w:color="auto" w:fill="CCEEFF"/>
          </w:tcPr>
          <w:p>
            <w:pPr>
              <w:spacing w:after="0"/>
              <w:rPr>
                <w:sz w:val="20"/>
                <w:szCs w:val="20"/>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w:t>
            </w:r>
          </w:p>
        </w:tc>
      </w:tr>
      <w:tr>
        <w:trPr>
          <w:trHeight w:val="224"/>
        </w:trPr>
        <w:tc>
          <w:tcPr>
            <w:tcW w:w="20" w:type="dxa"/>
            <w:vAlign w:val="bottom"/>
          </w:tcPr>
          <w:p>
            <w:pPr>
              <w:spacing w:after="0"/>
              <w:rPr>
                <w:sz w:val="19"/>
                <w:szCs w:val="19"/>
                <w:color w:val="auto"/>
              </w:rPr>
            </w:pPr>
          </w:p>
        </w:tc>
        <w:tc>
          <w:tcPr>
            <w:tcW w:w="10020" w:type="dxa"/>
            <w:vAlign w:val="bottom"/>
            <w:gridSpan w:val="2"/>
          </w:tcPr>
          <w:p>
            <w:pPr>
              <w:spacing w:after="0" w:line="224" w:lineRule="exact"/>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222,355</w:t>
            </w:r>
          </w:p>
        </w:tc>
      </w:tr>
      <w:tr>
        <w:trPr>
          <w:trHeight w:val="224"/>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23,120</w:t>
            </w:r>
          </w:p>
        </w:tc>
      </w:tr>
      <w:tr>
        <w:trPr>
          <w:trHeight w:val="224"/>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4"/>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r>
      <w:tr>
        <w:trPr>
          <w:trHeight w:val="224"/>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w:t>
            </w:r>
          </w:p>
        </w:tc>
      </w:tr>
      <w:tr>
        <w:trPr>
          <w:trHeight w:val="224"/>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30,345</w:t>
            </w:r>
          </w:p>
        </w:tc>
      </w:tr>
      <w:tr>
        <w:trPr>
          <w:trHeight w:val="224"/>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317,354</w:t>
            </w:r>
          </w:p>
        </w:tc>
      </w:tr>
      <w:tr>
        <w:trPr>
          <w:trHeight w:val="224"/>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r>
      <w:tr>
        <w:trPr>
          <w:trHeight w:val="224"/>
        </w:trPr>
        <w:tc>
          <w:tcPr>
            <w:tcW w:w="20" w:type="dxa"/>
            <w:vAlign w:val="bottom"/>
            <w:tcBorders>
              <w:bottom w:val="single" w:sz="8" w:color="CCEEFF"/>
            </w:tcBorders>
          </w:tcPr>
          <w:p>
            <w:pPr>
              <w:spacing w:after="0"/>
              <w:rPr>
                <w:sz w:val="19"/>
                <w:szCs w:val="19"/>
                <w:color w:val="auto"/>
              </w:rPr>
            </w:pPr>
          </w:p>
        </w:tc>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7"/>
        </w:trPr>
        <w:tc>
          <w:tcPr>
            <w:tcW w:w="20" w:type="dxa"/>
            <w:vAlign w:val="bottom"/>
            <w:shd w:val="clear" w:color="auto" w:fill="CCEEFF"/>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1,104,945</w:t>
            </w:r>
          </w:p>
        </w:tc>
      </w:tr>
    </w:tbl>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7"/>
          <w:szCs w:val="7"/>
          <w:color w:val="auto"/>
        </w:rPr>
        <w:t>_________________________</w:t>
      </w:r>
    </w:p>
    <w:p>
      <w:pPr>
        <w:spacing w:after="0" w:line="94" w:lineRule="exact"/>
        <w:rPr>
          <w:sz w:val="20"/>
          <w:szCs w:val="20"/>
          <w:color w:val="auto"/>
        </w:rPr>
      </w:pPr>
    </w:p>
    <w:p>
      <w:pPr>
        <w:ind w:left="400" w:hanging="395"/>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accounts receivable acquired was $222.4 million, with the gross contractual amount being $224.4 million. We expect $2.0 million to be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4 - Acquisitions of Businesses (Continued)</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00"/>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Liabilities:</w:t>
            </w:r>
          </w:p>
        </w:tc>
        <w:tc>
          <w:tcPr>
            <w:tcW w:w="9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3"/>
        </w:trPr>
        <w:tc>
          <w:tcPr>
            <w:tcW w:w="20" w:type="dxa"/>
            <w:vAlign w:val="bottom"/>
            <w:shd w:val="clear" w:color="auto" w:fill="CCEEFF"/>
          </w:tcPr>
          <w:p>
            <w:pPr>
              <w:spacing w:after="0"/>
              <w:rPr>
                <w:sz w:val="20"/>
                <w:szCs w:val="20"/>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68,147</w:t>
            </w:r>
          </w:p>
        </w:tc>
      </w:tr>
      <w:tr>
        <w:trPr>
          <w:trHeight w:val="224"/>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104,595</w:t>
            </w:r>
          </w:p>
        </w:tc>
      </w:tr>
      <w:tr>
        <w:trPr>
          <w:trHeight w:val="224"/>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r>
      <w:tr>
        <w:trPr>
          <w:trHeight w:val="224"/>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21,524</w:t>
            </w:r>
          </w:p>
        </w:tc>
      </w:tr>
      <w:tr>
        <w:trPr>
          <w:trHeight w:val="224"/>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24"/>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27,771</w:t>
            </w:r>
          </w:p>
        </w:tc>
      </w:tr>
      <w:tr>
        <w:trPr>
          <w:trHeight w:val="224"/>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17"/>
        </w:trPr>
        <w:tc>
          <w:tcPr>
            <w:tcW w:w="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235,439</w:t>
            </w:r>
          </w:p>
        </w:tc>
      </w:tr>
      <w:tr>
        <w:trPr>
          <w:trHeight w:val="224"/>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17"/>
        </w:trPr>
        <w:tc>
          <w:tcPr>
            <w:tcW w:w="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868,572</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fair value of the net assets acquired and represents the future economic benefits expected from this strategic acquisition.</w:t>
      </w:r>
    </w:p>
    <w:p>
      <w:pPr>
        <w:spacing w:after="0" w:line="3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 summarizes the preliminary fair values of identifiable intangible assets (in thousands) and their estimated useful lives (in years). Refer to Note 8 - Fair Value Measurements of the notes to consolidated financial statements for additional information on the valuation methodologies utilized to determine fair value.</w:t>
      </w:r>
    </w:p>
    <w:tbl>
      <w:tblPr>
        <w:tblLayout w:type="fixed"/>
        <w:tblInd w:w="0" w:type="dxa"/>
        <w:tblCellMar>
          <w:top w:w="0" w:type="dxa"/>
          <w:left w:w="0" w:type="dxa"/>
          <w:bottom w:w="0" w:type="dxa"/>
          <w:right w:w="0" w:type="dxa"/>
        </w:tblCellMar>
      </w:tblPr>
      <w:tr>
        <w:trPr>
          <w:trHeight w:val="147"/>
        </w:trPr>
        <w:tc>
          <w:tcPr>
            <w:tcW w:w="8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Miller Electric</w:t>
            </w:r>
          </w:p>
        </w:tc>
        <w:tc>
          <w:tcPr>
            <w:tcW w:w="160" w:type="dxa"/>
            <w:vAlign w:val="bottom"/>
          </w:tcPr>
          <w:p>
            <w:pPr>
              <w:spacing w:after="0"/>
              <w:rPr>
                <w:sz w:val="12"/>
                <w:szCs w:val="12"/>
                <w:color w:val="auto"/>
              </w:rPr>
            </w:pPr>
          </w:p>
        </w:tc>
        <w:tc>
          <w:tcPr>
            <w:tcW w:w="1040" w:type="dxa"/>
            <w:vAlign w:val="bottom"/>
          </w:tcPr>
          <w:p>
            <w:pPr>
              <w:jc w:val="right"/>
              <w:ind w:right="177"/>
              <w:spacing w:after="0" w:line="147" w:lineRule="exact"/>
              <w:rPr>
                <w:sz w:val="20"/>
                <w:szCs w:val="20"/>
                <w:color w:val="auto"/>
              </w:rPr>
            </w:pPr>
            <w:r>
              <w:rPr>
                <w:rFonts w:ascii="Times New Roman" w:cs="Times New Roman" w:eastAsia="Times New Roman" w:hAnsi="Times New Roman"/>
                <w:sz w:val="14"/>
                <w:szCs w:val="14"/>
                <w:b w:val="1"/>
                <w:bCs w:val="1"/>
                <w:color w:val="auto"/>
              </w:rPr>
              <w:t>Preliminary</w:t>
            </w:r>
          </w:p>
        </w:tc>
        <w:tc>
          <w:tcPr>
            <w:tcW w:w="14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195"/>
        </w:trPr>
        <w:tc>
          <w:tcPr>
            <w:tcW w:w="8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7"/>
        </w:trPr>
        <w:tc>
          <w:tcPr>
            <w:tcW w:w="8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16.0</w:t>
            </w:r>
          </w:p>
        </w:tc>
        <w:tc>
          <w:tcPr>
            <w:tcW w:w="0" w:type="dxa"/>
            <w:vAlign w:val="bottom"/>
          </w:tcPr>
          <w:p>
            <w:pPr>
              <w:spacing w:after="0"/>
              <w:rPr>
                <w:sz w:val="1"/>
                <w:szCs w:val="1"/>
                <w:color w:val="auto"/>
              </w:rPr>
            </w:pPr>
          </w:p>
        </w:tc>
      </w:tr>
      <w:tr>
        <w:trPr>
          <w:trHeight w:val="224"/>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backlog</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34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17"/>
        </w:trPr>
        <w:tc>
          <w:tcPr>
            <w:tcW w:w="8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14.2</w:t>
            </w:r>
          </w:p>
        </w:tc>
        <w:tc>
          <w:tcPr>
            <w:tcW w:w="0" w:type="dxa"/>
            <w:vAlign w:val="bottom"/>
          </w:tcPr>
          <w:p>
            <w:pPr>
              <w:spacing w:after="0"/>
              <w:rPr>
                <w:sz w:val="1"/>
                <w:szCs w:val="1"/>
                <w:color w:val="auto"/>
              </w:rPr>
            </w:pPr>
          </w:p>
        </w:tc>
      </w:tr>
      <w:tr>
        <w:trPr>
          <w:trHeight w:val="224"/>
        </w:trPr>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c>
          <w:tcPr>
            <w:tcW w:w="0" w:type="dxa"/>
            <w:vAlign w:val="bottom"/>
          </w:tcPr>
          <w:p>
            <w:pPr>
              <w:spacing w:after="0"/>
              <w:rPr>
                <w:sz w:val="1"/>
                <w:szCs w:val="1"/>
                <w:color w:val="auto"/>
              </w:rPr>
            </w:pPr>
          </w:p>
        </w:tc>
      </w:tr>
      <w:tr>
        <w:trPr>
          <w:trHeight w:val="242"/>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addition to Miller Electric, during the first half of 2025, we acquired three companies, for upfront consideration of $38.8 million, inclusive of customary working capital adjustments. Such acquisitions include: (a) a company in the Midwestern region of the United States that provides building automation controls and solutions to commercial, institutional, and industrial customers, (b) a company that adds capabilities to our national fire protection offerings, and (c) a provider of mechanical construction and maintenance services in the Western region of the United States. The results of their operations have been included within our United States mechanical construction and facilities services segment. In connection with these acquisitions, we acquired working capital of $5.0 million and other net assets of $2.4 million, and have preliminarily ascribed $16.1 million to goodwill and $15.3 million to identifiable intangible assets.</w:t>
      </w:r>
    </w:p>
    <w:p>
      <w:pPr>
        <w:spacing w:after="0" w:line="8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expect that all of the goodwill and identifiable intangible assets acquired in connection with the acquisitions we completed during the first half of 2025 will be deductible for tax purposes. The purchase price allocations for the businesses acquired in 2025 are preliminary and subject to change during their respective measurement periods as we finalize asset valuations and certain tax matters, among other items. The finalization of these items may result in changes in the valuation of assets acquired or liabilities assumed.</w:t>
      </w:r>
    </w:p>
    <w:p>
      <w:pPr>
        <w:spacing w:after="0" w:line="78"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During calendar year 2024, we acquired seven companies for upfront consideration of $231.1 million, inclusive of customary working capital adjustments. These acquisitions are comprised of: (a) an electrical contractor in the Southeast region of the United States, that has been included in our United States electrical construction and facilities services segment, (b) two companies that have been included within our United States mechanical construction and facilities services segment, including: (i) a leading plumbing services provider in the Southeast region of the United States and (ii) a full service provider of mechanical construction and maintenance services in Central Texas, (c) three companies that have been included in our United States building services segment, including: (i) a provider of building automation and controls solutions in the Northeast region of the United States, (ii) a mechanical services company in the Western region of the United States, and (iii) a mechanical services company in the Eastern region of the United States, and (d) an instrumentation and electrical contractor, that has been included in our United States industrial services segment, which provides electrical, automation, digital integration, and fabrication services to various energy sector and process equipment customers. In connection with these acquisitions, we acquired working capital of $29.0 million and other net assets of $1.1 million, and have ascribed $61.9 million to goodwill and $139.1 million to identifiable intangible assets.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Calculation of Basic and Diluted Earnings per Common Share</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tables summarize our calculation of Basic and Diluted Earnings per Common Share (“EPS”) for the three and six months ended June 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 (in thousands, except share and per share data):</w:t>
      </w:r>
    </w:p>
    <w:p>
      <w:pPr>
        <w:spacing w:after="0" w:line="12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247,572</w:t>
            </w:r>
          </w:p>
        </w:tc>
      </w:tr>
      <w:tr>
        <w:trPr>
          <w:trHeight w:val="224"/>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common share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44,833,638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46,972,032</w:t>
            </w:r>
          </w:p>
        </w:tc>
      </w:tr>
      <w:tr>
        <w:trPr>
          <w:trHeight w:val="224"/>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securities—Share-based awards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187,628</w:t>
            </w:r>
          </w:p>
        </w:tc>
      </w:tr>
      <w:tr>
        <w:trPr>
          <w:trHeight w:val="21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common share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44,990,388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47,159,660</w:t>
            </w:r>
          </w:p>
        </w:tc>
      </w:tr>
      <w:tr>
        <w:trPr>
          <w:trHeight w:val="211"/>
        </w:trPr>
        <w:tc>
          <w:tcPr>
            <w:tcW w:w="8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1"/>
        </w:trPr>
        <w:tc>
          <w:tcPr>
            <w:tcW w:w="8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699"/>
        </w:trPr>
        <w:tc>
          <w:tcPr>
            <w:tcW w:w="8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0"/>
        </w:trPr>
        <w:tc>
          <w:tcPr>
            <w:tcW w:w="8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9"/>
        </w:trPr>
        <w:tc>
          <w:tcPr>
            <w:tcW w:w="8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444,721</w:t>
            </w:r>
          </w:p>
        </w:tc>
      </w:tr>
      <w:tr>
        <w:trPr>
          <w:trHeight w:val="224"/>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common share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45,227,690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47,053,768</w:t>
            </w:r>
          </w:p>
        </w:tc>
      </w:tr>
      <w:tr>
        <w:trPr>
          <w:trHeight w:val="224"/>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securities—Share-based awards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182,970</w:t>
            </w:r>
          </w:p>
        </w:tc>
      </w:tr>
      <w:tr>
        <w:trPr>
          <w:trHeight w:val="21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common share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45,380,744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47,236,738</w:t>
            </w:r>
          </w:p>
        </w:tc>
      </w:tr>
      <w:tr>
        <w:trPr>
          <w:trHeight w:val="211"/>
        </w:trPr>
        <w:tc>
          <w:tcPr>
            <w:tcW w:w="8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11"/>
        </w:trPr>
        <w:tc>
          <w:tcPr>
            <w:tcW w:w="8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bl>
    <w:p>
      <w:pPr>
        <w:spacing w:after="0" w:line="20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number of share-based awards excluded from the computation of diluted EPS for both the three and six months ended June 30, 2025 because they would be anti-dilutive were 3,635. The number of share-based awards excluded from the computation of diluted EPS for the three and six months ended June 30, 2024 because they would be anti-dilutive were 5,200 and 9,399, respectively.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p>
      <w:pPr>
        <w:spacing w:after="0" w:line="13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Inventories in the accompanying Consolidated Balance Sheets consisted of the following amounts as of June 30, 2025 and December 31, 2024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construction materials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83,935</w:t>
            </w:r>
          </w:p>
        </w:tc>
      </w:tr>
      <w:tr>
        <w:trPr>
          <w:trHeight w:val="224"/>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w:t>
            </w:r>
          </w:p>
        </w:tc>
      </w:tr>
      <w:tr>
        <w:trPr>
          <w:trHeight w:val="242"/>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Debt in the accompanying Consolidated Balance Sheets consisted of the following amounts as of June 30, 2025 and December 31, 2024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r>
      <w:tr>
        <w:trPr>
          <w:trHeight w:val="242"/>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have a credit agreement dated December 20, 2023 (the “2023 Credit Agreement”), which provides for a $1.3 billion revolving credit facility (the “2023 Revolving Credit Facility”) expiring December 20, 2028. If additional lenders are identified and/or existing lenders are willing to increase their current commitments, we may increase the 2023 Revolving Credit Facility by an amount equal to the greater of: (a) $900 million or (b) the Company’s Adjusted EBITDA (as such term is defined in the 2023 Credit Agreement) for the twelve-month period ending immediately prior to the increase in commitment. We may allocate up to $600.0 million of available capacity under the 2023 Revolving Credit Facility to letters of credit for our account or for the account of any of our subsidiaries.</w:t>
      </w:r>
    </w:p>
    <w:p>
      <w:pPr>
        <w:spacing w:after="0" w:line="11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June 30, 2025, we had $250.0 million in direct borrowings outstanding under the 2023 Revolving Credit Facility. There were no direct borrowings outstanding under the 2023 Revolving Credit Facility as of December 31, 2024. Outstanding letters of credit reduce the available capacity under this facility and, as of June 30, 2025 and December 31, 2024, we had $71.5 million and $71.2 million of letters of credit outstanding, respectively.</w:t>
      </w:r>
    </w:p>
    <w:p>
      <w:pPr>
        <w:spacing w:after="0" w:line="10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At the Company’s election, borrowings under the 2023 Revolving Credit Facility bear interest at either: (1) a base rate plus a margin of 0.125% to 0.875%, depending on the Company’s Leverage Ratio (as such term is defined in the 2023 Credit Agreement), or (2) a rate equal to the secured overnight financing rate as administered by the Federal Reserve Bank of New York for the applicable tenor plus 0.10% (“Adjusted Term SOFR”) plus a margin of 1.125% to 1.875%, depending on the Company’s Leverage Ratio. The base rate is determined by the greater of: (a) the prime commercial lending rate announced by Bank of Montreal from time to time, (b) the federal funds effective rate, plus ½ of 1.00%, (c) Adjusted Term SOFR for a one-month tenor, plus 1.00%, or (d) 0.00%. The interest rate in effect at June 30, 2025 was 5.54%.</w:t>
      </w:r>
    </w:p>
    <w:p>
      <w:pPr>
        <w:spacing w:after="0" w:line="11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 commitment fee is payable on the average daily unused amount of the 2023 Revolving Credit Facility, which ranges from 0.125% to 0.25%, depending on the Company’s Leverage Ratio. The fee was 0.125% of the unused amount as of June 30, 2025 and December 31, 2024. Fees for letters of credit issued under the 2023 Revolving Credit Facility range from 0.85% to 1.875% of the respective face amounts of outstanding letters of credit, depending on the nature of the letter of credit, and are computed depending on the Company’s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(Continued)</w:t>
      </w:r>
    </w:p>
    <w:p>
      <w:pPr>
        <w:spacing w:after="0" w:line="13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Obligations under the 2023 Credit Agreement are guaranteed by most of our direct and indirect subsidiaries and are secured by substantially all of our assets. The 2023 Credit Agreement contains customary covenants providing for, among other things, the maintenance of certain financial ratios and certain limitations on the payment of dividends, common stock repurchases, investments, acquisitions, indebtedness, and capital expenditures. We were in compliance with all such covenants as of June 30, 2025 and December 31,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 Liabilities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current portion of our finance lease liabilities of $2.3 million and $2.2 million at June 30, 2025 and December 31, 2024, respectively, were included in “Other accrued expenses and liabilities,” and the non-current portion of our finance lease liabilities of $4.1 million and $3.8 million at June 30, 2025 and December 31, 2024, respectively, were included in “Other long-term obligations” in the accompanying Consolidated Balance Sheets.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disclosure purposes, we utilize a fair value hierarchy to categorize qualifying assets and liabilities into three broad levels based on the priority of the inputs used to determine their fair values. The hierarchy, which gives the highest priority to unadjusted quoted prices in active markets for identical assets and liabilities and the lowest priority to unobservable inputs, is comprised of the following three levels: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and liabilities.</w:t>
      </w:r>
    </w:p>
    <w:p>
      <w:pPr>
        <w:spacing w:after="0" w:line="109" w:lineRule="exact"/>
        <w:rPr>
          <w:sz w:val="20"/>
          <w:szCs w:val="20"/>
          <w:color w:val="auto"/>
        </w:rPr>
      </w:pPr>
    </w:p>
    <w:p>
      <w:pPr>
        <w:jc w:val="both"/>
        <w:ind w:left="400"/>
        <w:spacing w:after="0" w:line="256" w:lineRule="auto"/>
        <w:rPr>
          <w:sz w:val="20"/>
          <w:szCs w:val="20"/>
          <w:color w:val="auto"/>
        </w:rPr>
      </w:pPr>
      <w:r>
        <w:rPr>
          <w:rFonts w:ascii="Times New Roman" w:cs="Times New Roman" w:eastAsia="Times New Roman" w:hAnsi="Times New Roman"/>
          <w:sz w:val="18"/>
          <w:szCs w:val="18"/>
          <w:color w:val="auto"/>
        </w:rPr>
        <w:t>Level 2 – Observable inputs, other than Level 1 inputs, that are directly or indirectly observable for the asset or liability, including quoted prices for similar assets and liabilities in active markets; quoted prices for identical or similar assets or liabilities in markets that are not active; and model-derived valuations whose inputs are observable or whose significant value drivers are observable.</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3 – Significant unobservable inputs that reflect the reporting entity’s own assumptions.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5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summarize the assets and liabilities carried at fair value measured on a recurring basis as of June 30, 2025 and December 31, 2024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1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Assets at Fair Value as of June 30, 2025</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6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682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8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2"/>
                <w:szCs w:val="22"/>
                <w:color w:val="auto"/>
                <w:vertAlign w:val="superscript"/>
              </w:rPr>
              <w:t>(1)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485,988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485,988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820" w:type="dxa"/>
            <w:vAlign w:val="bottom"/>
          </w:tcPr>
          <w:p>
            <w:pPr>
              <w:spacing w:after="0" w:line="224" w:lineRule="exact"/>
              <w:rPr>
                <w:sz w:val="20"/>
                <w:szCs w:val="20"/>
                <w:color w:val="auto"/>
              </w:rPr>
            </w:pPr>
            <w:r>
              <w:rPr>
                <w:rFonts w:ascii="Times New Roman" w:cs="Times New Roman" w:eastAsia="Times New Roman" w:hAnsi="Times New Roman"/>
                <w:sz w:val="18"/>
                <w:szCs w:val="18"/>
                <w:color w:val="auto"/>
              </w:rPr>
              <w:t xml:space="preserve">Deferred compensation plan assets </w:t>
            </w:r>
            <w:r>
              <w:rPr>
                <w:rFonts w:ascii="Times New Roman" w:cs="Times New Roman" w:eastAsia="Times New Roman" w:hAnsi="Times New Roman"/>
                <w:sz w:val="22"/>
                <w:szCs w:val="22"/>
                <w:color w:val="auto"/>
                <w:vertAlign w:val="superscript"/>
              </w:rPr>
              <w:t>(2)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820" w:type="dxa"/>
            <w:vAlign w:val="bottom"/>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2"/>
                <w:szCs w:val="22"/>
                <w:color w:val="auto"/>
                <w:vertAlign w:val="superscript"/>
              </w:rPr>
              <w:t>(3)</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559,512</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559,512</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2024</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880" w:type="dxa"/>
            <w:vAlign w:val="bottom"/>
            <w:gridSpan w:val="2"/>
            <w:vMerge w:val="continue"/>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8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2"/>
                <w:szCs w:val="22"/>
                <w:color w:val="auto"/>
                <w:vertAlign w:val="superscript"/>
              </w:rPr>
              <w:t>(1)</w:t>
            </w:r>
          </w:p>
        </w:tc>
        <w:tc>
          <w:tcPr>
            <w:tcW w:w="280" w:type="dxa"/>
            <w:vAlign w:val="bottom"/>
            <w:tcBorders>
              <w:top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1,339,550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1,339,550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8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Deferred compensation plan assets </w:t>
            </w:r>
            <w:r>
              <w:rPr>
                <w:rFonts w:ascii="Times New Roman" w:cs="Times New Roman" w:eastAsia="Times New Roman" w:hAnsi="Times New Roman"/>
                <w:sz w:val="22"/>
                <w:szCs w:val="22"/>
                <w:color w:val="auto"/>
                <w:vertAlign w:val="superscript"/>
              </w:rPr>
              <w:t>(2)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8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2"/>
                <w:szCs w:val="22"/>
                <w:color w:val="auto"/>
                <w:vertAlign w:val="superscript"/>
              </w:rPr>
              <w:t>(3)</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1,401,637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1,401,637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7"/>
          <w:szCs w:val="7"/>
          <w:color w:val="auto"/>
        </w:rPr>
        <w:t>_________________________</w:t>
      </w:r>
    </w:p>
    <w:p>
      <w:pPr>
        <w:spacing w:after="0" w:line="55" w:lineRule="exact"/>
        <w:rPr>
          <w:sz w:val="20"/>
          <w:szCs w:val="20"/>
          <w:color w:val="auto"/>
        </w:rPr>
      </w:pPr>
    </w:p>
    <w:p>
      <w:pPr>
        <w:jc w:val="both"/>
        <w:ind w:left="400" w:hanging="395"/>
        <w:spacing w:after="0" w:line="263" w:lineRule="auto"/>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equivalents consist of deposit accounts and money market funds with original maturity dates of three months or less, which are Level 1 assets. At June 30, 2025 and December 31, 2024, we had $261.0 million and $1,088.0 million, respectively, in money market funds. From time to time, we have cash balances in certain of our domestic bank accounts that exceed federally insured limits.</w:t>
      </w:r>
    </w:p>
    <w:p>
      <w:pPr>
        <w:spacing w:after="0" w:line="39"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compensation plan assets are classified as “Other assets” in the Consolidated Balance Sheets.</w:t>
      </w:r>
    </w:p>
    <w:p>
      <w:pPr>
        <w:spacing w:after="0" w:line="66" w:lineRule="exact"/>
        <w:rPr>
          <w:rFonts w:ascii="Times New Roman" w:cs="Times New Roman" w:eastAsia="Times New Roman" w:hAnsi="Times New Roman"/>
          <w:sz w:val="16"/>
          <w:szCs w:val="16"/>
          <w:color w:val="auto"/>
        </w:rPr>
      </w:pPr>
    </w:p>
    <w:p>
      <w:pPr>
        <w:ind w:left="400" w:hanging="395"/>
        <w:spacing w:after="0" w:line="287" w:lineRule="auto"/>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cash is classified as “Prepaid expenses and other” in the Consolidated Balance Sheets. Restricted cash represents cash held in account for use on customer contracts.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 (Continued)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1"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We have recorded goodwill and identifiable intangible assets in connection with our business acquisitions. Such assets are measured at fair value at the time of acquisition based on valuation techniques that appropriately represent the methods which would be used by other market participants in determining fair value. We determine the fair value of our trade name intangible assets by utilizing the relief from royalty payments methodology. This approach involves two steps: (a) estimating a reasonable royalty rate for the trade name and (b) applying this royalty rate to a net revenue stream and discounting the resulting cash flows to determine fair value. Key assumptions under this method are future revenues, royalty rate, and discount rate. The fair value of our intangible assets related to contract backlog and customer relationships is determined using the multi-period excess earnings method. Key assumptions in the valuation of customer relationship intangible assets are revenue growth, operating margin, customer attrition rate, and discount rate. Backlog intangible assets are based on future revenue from contracts already awarded at the time of acquisition. Key assumptions in the valuation of backlog intangible assets include operating margin and discount rate. Other assumptions utilized in these valuation techniques include tax rate and contributory asset charges.</w:t>
      </w:r>
    </w:p>
    <w:p>
      <w:pPr>
        <w:spacing w:after="0" w:line="10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addition, goodwill, intangible assets, and certain other long-lived assets are tested for impairment using similar valuation methodologies to determine the fair value of such assets.</w:t>
      </w:r>
    </w:p>
    <w:p>
      <w:pPr>
        <w:spacing w:after="0" w:line="64"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Periodically, we engage an independent third-party valuation specialist to assist with the valuation process, including the selection of appropriate methodologies and the development of market-based assumptions. The inputs used for these nonrecurring fair value measurements represent Level 3 inputs.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believe that the carrying values of our financial instruments, which include accounts receivable and other financing commitments, approximate their fair values due primarily to their short-term maturities and low risk of counterparty default. The carrying value of the debt associated with our 2023 Credit Agreement approximates its fair value due to the variable rate on such debt.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our income tax provision and our income tax rate for the three and six months ended June 30, 2025 and 2024 (in thousands, except percentages):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13"/>
                <w:szCs w:val="13"/>
                <w:color w:val="auto"/>
              </w:rPr>
            </w:pPr>
          </w:p>
        </w:tc>
        <w:tc>
          <w:tcPr>
            <w:tcW w:w="2600" w:type="dxa"/>
            <w:vAlign w:val="bottom"/>
            <w:gridSpan w:val="5"/>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For the six months ended</w:t>
            </w:r>
          </w:p>
        </w:tc>
      </w:tr>
      <w:tr>
        <w:trPr>
          <w:trHeight w:val="191"/>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91"/>
        </w:trPr>
        <w:tc>
          <w:tcPr>
            <w:tcW w:w="5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91,563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193,387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162,130</w:t>
            </w:r>
          </w:p>
        </w:tc>
      </w:tr>
      <w:tr>
        <w:trPr>
          <w:trHeight w:val="22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rate</w:t>
            </w: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bl>
    <w:p>
      <w:pPr>
        <w:spacing w:after="0" w:line="20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difference between the U.S. statutory tax rate of 21% and our effective income tax rate for both the three and six months ended June 30, 2025 and 2024 was primarily a result of state and local income taxes and other permanent book-to-tax differences.</w:t>
      </w:r>
    </w:p>
    <w:p>
      <w:pPr>
        <w:spacing w:after="0" w:line="10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increase in our income tax provision for the three and six months ended June 30, 2025, when compared to the three and six months ended June 30, 2024, was due to greater income before income taxes. The decrease in our effective income tax rate for the three and six months ended June 30, 2025 as compared to the three and six months ended June 30, 2024 was primarily attributable to a decrease in the state and local effective tax rate due to changes in the mix of earnings.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June 30, 2025 and December 31, 2024, we had no unrecognized income tax benefits.</w:t>
      </w:r>
    </w:p>
    <w:p>
      <w:pPr>
        <w:spacing w:after="0" w:line="14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file a consolidated federal income tax return including all of our U.S. subsidiaries with the Internal Revenue Service. We additionally file income tax returns with various state, local, and foreign tax agencies. Our income tax returns are subject to audit by various taxing authorities and are currently under examination for the years 2020 through 2023.</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of 2025 (“OBBBA”). The OBBBA makes permanent key elements of the Tax Cuts and Jobs Act, including accelerated bonus depreciation. While we currently do not expect this legislation to have a material impact on our annual effective tax rate for 2025, we are evaluating the future impact of the OBBBA on our financial position and/or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June 30, 2025 and December 31, 2024, there were 44,762,776 and 45,810,125 shares of our common stock outstanding, respectively.</w:t>
      </w:r>
    </w:p>
    <w:p>
      <w:pPr>
        <w:spacing w:after="0" w:line="13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2025 and 2024, we issued 5,106 and 12,506 shares of common stock, respectively. During the six months ended June 30, 2025 and 2024, we issued 57,381 and 80,579 shares of common stock, respectively. These shares were issued upon the satisfaction of required conditions under our share-based compensation plans.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have paid quarterly dividends since October 25, 2011. We currently pay a regular quarterly dividend of $0.25 per share.</w:t>
      </w:r>
    </w:p>
    <w:p>
      <w:pPr>
        <w:spacing w:after="0" w:line="148"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September 2011, our Board of Directors (the “Board”) authorized a share repurchase program allowing us to begin repurchasing shares of our outstanding common stock. Subsequently, the Board has from time to time increased the amount authorized for repurchases under such program. In February 2025, our Board increased such amount by $500 million. Since the inception of the repurchase program, through June 30, 2025, the Board has authorized us to repurchase up to $3.15 billion of our outstanding common stock. During the six months ended June 30, 2025, we repurchased approximately 1.1 million shares of our common stock for approximately $423.3 million, inclusive of the applicable excise tax. Since the inception of the repurchase program through June 30, 2025, we have repurchased approximately 28.2 million shares of our common stock for approximately $2.81 billion. As of June 30, 2025, there remained authorization for us to repurchase approximately $336.2 million of our shares. The repurchase program has no expiration date, does not obligate the Company to acquire any particular amount of common stock, and may be suspended, recommenced, or discontinued at any time or from time to time without prior notice. We may repurchase our shares from time to time to the extent permitted by securities laws and other legal requirements, including provisions in our 2023 Credit Agreement placing limitations on such repurchases.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Retirement Plans</w:t>
      </w:r>
    </w:p>
    <w:p>
      <w:pPr>
        <w:spacing w:after="0" w:line="13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funded status of our defined benefit plans, which represents the difference between the fair value of plan assets and the projected benefit obligations, is recognized in the Consolidated Balance Sheets with a corresponding adjustment to accumulated other comprehensive income (loss). Gains and losses for the differences between actuarial assumptions and actual results are recognized through accumulated other comprehensive income (loss). These amounts will be subsequently recognized as net periodic pension income within the Consolidated Statements of Operations.</w:t>
      </w:r>
    </w:p>
    <w:p>
      <w:pPr>
        <w:spacing w:after="0" w:line="11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United Kingdom subsidiary has a defined benefit pension plan covering all eligible employees (the “UK Plan”); however, no individual joining the company after October 31, 2001 may participate in the UK Plan. On May 31, 2010, we curtailed the future accrual of benefits for active employees under such plan.</w:t>
      </w:r>
    </w:p>
    <w:p>
      <w:pPr>
        <w:spacing w:after="0" w:line="11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also sponsor three domestic retirement plans in which participation by new individuals is frozen. Amounts related to these domestic retirement plans were de minimis for all periods presented.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Pension Income</w:t>
      </w:r>
    </w:p>
    <w:p>
      <w:pPr>
        <w:spacing w:after="0" w:line="150"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components of net periodic pension income of the UK Plan for the three and six months ended June 30, 2025 and 2024 were as follows (in thousands):</w:t>
      </w:r>
    </w:p>
    <w:tbl>
      <w:tblPr>
        <w:tblLayout w:type="fixed"/>
        <w:tblInd w:w="0" w:type="dxa"/>
        <w:tblCellMar>
          <w:top w:w="0" w:type="dxa"/>
          <w:left w:w="0" w:type="dxa"/>
          <w:bottom w:w="0" w:type="dxa"/>
          <w:right w:w="0" w:type="dxa"/>
        </w:tblCellMar>
      </w:tblPr>
      <w:tr>
        <w:trPr>
          <w:trHeight w:val="145"/>
        </w:trPr>
        <w:tc>
          <w:tcPr>
            <w:tcW w:w="4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gridSpan w:val="5"/>
          </w:tcPr>
          <w:p>
            <w:pPr>
              <w:ind w:left="220"/>
              <w:spacing w:after="0" w:line="145"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20" w:type="dxa"/>
            <w:vAlign w:val="bottom"/>
          </w:tcPr>
          <w:p>
            <w:pPr>
              <w:spacing w:after="0"/>
              <w:rPr>
                <w:sz w:val="12"/>
                <w:szCs w:val="12"/>
                <w:color w:val="auto"/>
              </w:rPr>
            </w:pPr>
          </w:p>
        </w:tc>
        <w:tc>
          <w:tcPr>
            <w:tcW w:w="2420" w:type="dxa"/>
            <w:vAlign w:val="bottom"/>
            <w:gridSpan w:val="4"/>
          </w:tcPr>
          <w:p>
            <w:pPr>
              <w:jc w:val="right"/>
              <w:ind w:right="536"/>
              <w:spacing w:after="0" w:line="145" w:lineRule="exact"/>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0"/>
        </w:trPr>
        <w:tc>
          <w:tcPr>
            <w:tcW w:w="4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0"/>
        </w:trPr>
        <w:tc>
          <w:tcPr>
            <w:tcW w:w="400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r>
      <w:tr>
        <w:trPr>
          <w:trHeight w:val="22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w:t>
            </w:r>
          </w:p>
        </w:tc>
      </w:tr>
      <w:tr>
        <w:trPr>
          <w:trHeight w:val="22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loss</w:t>
            </w:r>
          </w:p>
        </w:tc>
        <w:tc>
          <w:tcPr>
            <w:tcW w:w="16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1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166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4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7"/>
        </w:trPr>
        <w:tc>
          <w:tcPr>
            <w:tcW w:w="4000" w:type="dxa"/>
            <w:vAlign w:val="bottom"/>
          </w:tcPr>
          <w:p>
            <w:pPr>
              <w:spacing w:after="0"/>
              <w:rPr>
                <w:sz w:val="24"/>
                <w:szCs w:val="24"/>
                <w:color w:val="auto"/>
              </w:rPr>
            </w:pPr>
          </w:p>
        </w:tc>
        <w:tc>
          <w:tcPr>
            <w:tcW w:w="19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2"/>
        </w:trPr>
        <w:tc>
          <w:tcPr>
            <w:tcW w:w="40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Agreements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have agreements with our executive officers and certain other key management personnel providing for severance benefits for such employees upon termination of their employment under certain circumstances.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at times, guarantee obligations of our subsidiaries under certain contracts. Generally, we are liable under such an arrangement only if our subsidiary fails to perform its obligations under the contract. Historically, we have not incurred any substantial liabilities as a consequence of these guarantees.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Surety Bonds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As of June 30, 2025, based on the percentage-of-completion of our projects covered by surety bonds, our aggregate estimated exposure, assuming defaults on all our then existing contractual obligations, was approximately $2.7 billion, which represents approximately 23% of our total remaining performance obligations.</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Surety bonds are sometimes provided to secure obligations for wages and benefits payable to or for certain of our employees, at the request of labor unions representing such employees. In addition, surety bonds may be issued as collateral for certain insurance obligations. As of June 30, 2025, we satisfied approximately $61.7 million of the collateral requirements of our insurance programs by utilizing surety bonds.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not aware of any losses in connection with surety bonds that have been posted on our behalf, and we do not expect to incur significant losses in the foreseeable future.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Hazardous Materials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subject to regulation with respect to the handling or disposal of certain materials used in the performance of our services, which are classified as hazardous or toxic by federal, state, and local agencies. Our practice is to avoid participation in projects principally involving the remediation or removal of such materials. However, when remediation is required as part of our contract performance, we believe we comply with all applicable regulations governing the discharge of hazardous materials into the environment or otherwise relating to the protection of the environment.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Contracts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When we perform work as a federal government contractor/subcontractor or when we perform work on a project that has received federal government funding, we are subject to U.S. government audits and investigations relating to our operations, which such audits may result in fines, penalties and compensatory and treble damages, and possible suspension or debarment from doing business with the government. Based on currently available information, we believe the outcome of ongoing government disputes and investigations will not have a material impact on our financial position, results of operations, or liquidity.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1"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We face potential exposure in several legal proceedings in which damages or claims (including, without limitation, indemnification claims by named defendants in legal proceedings in which we are not a party) have been asserted against us. We believe that we have valid defenses to such proceedings and claims, but litigation is inherently uncertain. We additionally maintain insurance coverage for certain of these matters, although these policies do not cover all possible claims and certain of the policies are subject to large deductibles and retentions. We do not believe that any such matters will have a material adverse effect on our financial position, results of operations, or liquidity. We record a loss contingency if we consider the potential loss from a proceeding or claim probable, and we are able to reasonably estimate the amount or can reasonably determine a range of loss. We provide disclosure when we believe a loss in excess of any recorded provision is reasonably possible. Significant judgment is required in these determinations. As additional information becomes available, we reassess prior determinations and may change our estimates. Additional claims may be asserted against us in the future. Litigation is subject to many uncertainties, and the outcome of litigation is not predictable with assurance. A litigation matter for which liabilities have not been recorded could be decided unfavorably to us, and any such unfavorable decision could have a material adverse effect on our financial position, results of operations, or liquidity.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 (Continued)</w:t>
      </w:r>
    </w:p>
    <w:p>
      <w:pPr>
        <w:spacing w:after="0" w:line="9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October 10, 2024, a chemical release occurred at the PEMEX Deer Park Refinery in Deer Park, Texas. As a result of the release, two people were killed and approximately 80 others claim to have suffered bodily injuries. Several lawsuits were filed in Harris County, Texas on behalf of the various claimants. Those lawsuits were thereafter assigned the status of “multi-district litigation” and consolidated in the 281st District Court, Harris County. Repcon, Inc. (“Repcon”) and EMCOR Industrial Services, Inc., indirect subsidiaries of the Company, have been named in several of the lawsuits. Repcon expects to participate in mediations related to this matter. Based on currently available information, we believe insurance will cover much or all of any amounts required to be paid by Repcon or EMCOR Industrial Services, Inc. in connection with these lawsuits.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Liabilities</w:t>
      </w:r>
    </w:p>
    <w:p>
      <w:pPr>
        <w:spacing w:after="0" w:line="16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have loss payment deductibles for certain workers’ compensation, automobile liability, general liability, and property claims, have self-insured retentions for certain other casualty claims, and are self-insured for employee-related healthcare claims. In addition, we maintain a wholly-owned captive insurance subsidiary to manage certain of our insurance liabilities. Losses are recorded based upon estimates of our liability for claims incurred and for claims incurred but not reported. The liabilities are derived from known facts, historical trends, and industry averages, utilizing the assistance of an independent third-party actuary to determine the best estimate for the majority of these obligations. To the extent that the amount required to settle claims covered by insurance continues to increase, the cost of our insurance coverage, including premiums and deductibles, is likely to increase. As of June 30, 2025 and December 31, 2024, the estimated current portion of such undiscounted insurance liabilities, included in “Other accrued expenses and liabilities” in the accompanying Consolidated Balance Sheets, were $68.6 million and $50.8 million, respectively. The estimated non-current portion of such undiscounted insurance liabilities included in “Other long-term obligations” as of June 30, 2025 and December 31, 2024 were $247.4 million and $237.3 million, respectively. The current portion of anticipated insurance recoveries of $12.0 million and $9.2 million as of June 30, 2025 and December 31, 2024, respectively, were included in “Prepaid expenses and other,” and the non-current portion of anticipated insurance recoveries of $42.0 million and $38.7 million as of June 30, 2025 and December 31, 2024, respectively, were included in “Other assets” in the accompanying Consolidated Balance Sheets.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Additional Cash Flow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additional cash flow information for the six months ended June 30, 2025 and 2024 (in thousands):</w:t>
      </w:r>
    </w:p>
    <w:p>
      <w:pPr>
        <w:spacing w:after="0" w:line="25"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4"/>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3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24"/>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254,949</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191,694</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Right-of-use assets obtained in exchange for new operating lease liabilities</w:t>
            </w:r>
          </w:p>
        </w:tc>
        <w:tc>
          <w:tcPr>
            <w:tcW w:w="3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65,180</w:t>
            </w:r>
          </w:p>
        </w:tc>
      </w:tr>
      <w:tr>
        <w:trPr>
          <w:trHeight w:val="22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r>
      <w:tr>
        <w:trPr>
          <w:trHeight w:val="890"/>
        </w:trPr>
        <w:tc>
          <w:tcPr>
            <w:tcW w:w="5400" w:type="dxa"/>
            <w:vAlign w:val="bottom"/>
          </w:tcPr>
          <w:p>
            <w:pPr>
              <w:spacing w:after="0"/>
              <w:rPr>
                <w:sz w:val="24"/>
                <w:szCs w:val="24"/>
                <w:color w:val="auto"/>
              </w:rPr>
            </w:pPr>
          </w:p>
        </w:tc>
        <w:tc>
          <w:tcPr>
            <w:tcW w:w="3340" w:type="dxa"/>
            <w:vAlign w:val="bottom"/>
          </w:tcPr>
          <w:p>
            <w:pPr>
              <w:jc w:val="right"/>
              <w:ind w:right="2932"/>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2"/>
        </w:trPr>
        <w:tc>
          <w:tcPr>
            <w:tcW w:w="540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one of the largest specialty contractors in the United States and a leading provider of electrical and mechanical construction and facilities services, building services, and industrial services. Our services are provided to a broad range of commercial, technology, manufacturing, industrial, healthcare, utility, and institutional customers through approximately 100 operating subsidiaries. Such operating subsidiaries are organized into the following reportable segments, which additionally reflect the nature of the services offered and their geographical location:</w:t>
      </w:r>
    </w:p>
    <w:p>
      <w:pPr>
        <w:spacing w:after="0" w:line="118" w:lineRule="exact"/>
        <w:rPr>
          <w:sz w:val="20"/>
          <w:szCs w:val="20"/>
          <w:color w:val="auto"/>
        </w:rPr>
      </w:pPr>
    </w:p>
    <w:p>
      <w:pPr>
        <w:ind w:left="440" w:hanging="237"/>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electrical construction and facilities services;</w:t>
      </w:r>
    </w:p>
    <w:p>
      <w:pPr>
        <w:spacing w:after="0" w:line="135" w:lineRule="exact"/>
        <w:rPr>
          <w:rFonts w:ascii="Times New Roman" w:cs="Times New Roman" w:eastAsia="Times New Roman" w:hAnsi="Times New Roman"/>
          <w:sz w:val="18"/>
          <w:szCs w:val="18"/>
          <w:color w:val="auto"/>
        </w:rPr>
      </w:pPr>
    </w:p>
    <w:p>
      <w:pPr>
        <w:ind w:left="440" w:hanging="237"/>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mechanical construction and facilities services;</w:t>
      </w:r>
    </w:p>
    <w:p>
      <w:pPr>
        <w:spacing w:after="0" w:line="148" w:lineRule="exact"/>
        <w:rPr>
          <w:rFonts w:ascii="Times New Roman" w:cs="Times New Roman" w:eastAsia="Times New Roman" w:hAnsi="Times New Roman"/>
          <w:sz w:val="18"/>
          <w:szCs w:val="18"/>
          <w:color w:val="auto"/>
        </w:rPr>
      </w:pPr>
    </w:p>
    <w:p>
      <w:pPr>
        <w:ind w:left="440" w:hanging="237"/>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building services;</w:t>
      </w:r>
    </w:p>
    <w:p>
      <w:pPr>
        <w:spacing w:after="0" w:line="148" w:lineRule="exact"/>
        <w:rPr>
          <w:rFonts w:ascii="Times New Roman" w:cs="Times New Roman" w:eastAsia="Times New Roman" w:hAnsi="Times New Roman"/>
          <w:sz w:val="18"/>
          <w:szCs w:val="18"/>
          <w:color w:val="auto"/>
        </w:rPr>
      </w:pPr>
    </w:p>
    <w:p>
      <w:pPr>
        <w:ind w:left="440" w:hanging="237"/>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industrial services; and</w:t>
      </w:r>
    </w:p>
    <w:p>
      <w:pPr>
        <w:spacing w:after="0" w:line="135" w:lineRule="exact"/>
        <w:rPr>
          <w:rFonts w:ascii="Times New Roman" w:cs="Times New Roman" w:eastAsia="Times New Roman" w:hAnsi="Times New Roman"/>
          <w:sz w:val="18"/>
          <w:szCs w:val="18"/>
          <w:color w:val="auto"/>
        </w:rPr>
      </w:pPr>
    </w:p>
    <w:p>
      <w:pPr>
        <w:ind w:left="440" w:hanging="237"/>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building services.</w:t>
      </w:r>
    </w:p>
    <w:p>
      <w:pPr>
        <w:spacing w:after="0" w:line="16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chief operating decision maker (“CODM”) is our Chairman, President, and Chief Executive Officer. Our CODM is responsible for assessing performance of the Company and each of our reportable segments as well as allocating resources, including personnel and capital resources. The measure of segment profit or loss utilized by our CODM is operating income. Our CODM evaluates segment performance by comparing historical, actual, and forecasted operating income on a regular basis. The accounting policies of our reportable segments are the same as those applied at the consolidated financial statement level.</w:t>
      </w:r>
    </w:p>
    <w:p>
      <w:pPr>
        <w:spacing w:after="0" w:line="13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present the revenues and operating income for each of our reportable segments for the three and six months ended June 30, 2025 and 2024 (in thousands):</w:t>
      </w:r>
    </w:p>
    <w:p>
      <w:pPr>
        <w:spacing w:after="0" w:line="7"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84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unrelated entities: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4"/>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799,994</w:t>
            </w:r>
          </w:p>
        </w:tc>
      </w:tr>
      <w:tr>
        <w:trPr>
          <w:trHeight w:val="224"/>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1,755,258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1,655,181</w:t>
            </w:r>
          </w:p>
        </w:tc>
      </w:tr>
      <w:tr>
        <w:trPr>
          <w:trHeight w:val="224"/>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781,108</w:t>
            </w:r>
          </w:p>
        </w:tc>
      </w:tr>
      <w:tr>
        <w:trPr>
          <w:trHeight w:val="224"/>
        </w:trPr>
        <w:tc>
          <w:tcPr>
            <w:tcW w:w="8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324,047</w:t>
            </w:r>
          </w:p>
        </w:tc>
      </w:tr>
      <w:tr>
        <w:trPr>
          <w:trHeight w:val="217"/>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4,169,836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3,560,330</w:t>
            </w:r>
          </w:p>
        </w:tc>
      </w:tr>
      <w:tr>
        <w:trPr>
          <w:trHeight w:val="224"/>
        </w:trPr>
        <w:tc>
          <w:tcPr>
            <w:tcW w:w="8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106,567</w:t>
            </w:r>
          </w:p>
        </w:tc>
      </w:tr>
      <w:tr>
        <w:trPr>
          <w:trHeight w:val="242"/>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revenues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4,304,400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3,666,897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54"/>
        </w:trPr>
        <w:tc>
          <w:tcPr>
            <w:tcW w:w="8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4"/>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1,364,158</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802,884</w:t>
            </w:r>
          </w:p>
        </w:tc>
      </w:tr>
      <w:tr>
        <w:trPr>
          <w:trHeight w:val="224"/>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1,779,871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1,669,887</w:t>
            </w:r>
          </w:p>
        </w:tc>
      </w:tr>
      <w:tr>
        <w:trPr>
          <w:trHeight w:val="224"/>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792,277</w:t>
            </w:r>
          </w:p>
        </w:tc>
      </w:tr>
      <w:tr>
        <w:trPr>
          <w:trHeight w:val="224"/>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326,312</w:t>
            </w:r>
          </w:p>
        </w:tc>
      </w:tr>
      <w:tr>
        <w:trPr>
          <w:trHeight w:val="224"/>
        </w:trPr>
        <w:tc>
          <w:tcPr>
            <w:tcW w:w="8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(31,030)</w:t>
            </w:r>
          </w:p>
        </w:tc>
      </w:tr>
      <w:tr>
        <w:trPr>
          <w:trHeight w:val="217"/>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4,169,836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3,560,330</w:t>
            </w:r>
          </w:p>
        </w:tc>
      </w:tr>
      <w:tr>
        <w:trPr>
          <w:trHeight w:val="224"/>
        </w:trPr>
        <w:tc>
          <w:tcPr>
            <w:tcW w:w="8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106,567</w:t>
            </w:r>
          </w:p>
        </w:tc>
      </w:tr>
      <w:tr>
        <w:trPr>
          <w:trHeight w:val="242"/>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revenues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4,304,400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3,666,897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 (Continued)</w:t>
      </w:r>
    </w:p>
    <w:p>
      <w:pPr>
        <w:spacing w:after="0" w:line="52"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spacing w:after="0" w:line="2"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210"/>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from unrelated entities: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0" w:type="dxa"/>
            <w:vAlign w:val="bottom"/>
            <w:shd w:val="clear" w:color="auto" w:fill="CCEEFF"/>
          </w:tcPr>
          <w:p>
            <w:pPr>
              <w:spacing w:after="0"/>
              <w:rPr>
                <w:sz w:val="19"/>
                <w:szCs w:val="19"/>
                <w:color w:val="auto"/>
              </w:rPr>
            </w:pP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2,428,091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1,564,705</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3,327,860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3,082,846</w:t>
            </w:r>
          </w:p>
        </w:tc>
        <w:tc>
          <w:tcPr>
            <w:tcW w:w="20" w:type="dxa"/>
            <w:vAlign w:val="bottom"/>
          </w:tcPr>
          <w:p>
            <w:pPr>
              <w:spacing w:after="0"/>
              <w:rPr>
                <w:sz w:val="19"/>
                <w:szCs w:val="19"/>
                <w:color w:val="auto"/>
              </w:rPr>
            </w:pPr>
          </w:p>
        </w:tc>
      </w:tr>
      <w:tr>
        <w:trPr>
          <w:trHeight w:val="224"/>
        </w:trPr>
        <w:tc>
          <w:tcPr>
            <w:tcW w:w="40" w:type="dxa"/>
            <w:vAlign w:val="bottom"/>
            <w:shd w:val="clear" w:color="auto" w:fill="CCEEFF"/>
          </w:tcPr>
          <w:p>
            <w:pPr>
              <w:spacing w:after="0"/>
              <w:rPr>
                <w:sz w:val="19"/>
                <w:szCs w:val="19"/>
                <w:color w:val="auto"/>
              </w:rPr>
            </w:pP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1,562,268</w:t>
            </w:r>
          </w:p>
        </w:tc>
        <w:tc>
          <w:tcPr>
            <w:tcW w:w="20" w:type="dxa"/>
            <w:vAlign w:val="bottom"/>
          </w:tcPr>
          <w:p>
            <w:pPr>
              <w:spacing w:after="0"/>
              <w:rPr>
                <w:sz w:val="19"/>
                <w:szCs w:val="19"/>
                <w:color w:val="auto"/>
              </w:rPr>
            </w:pPr>
          </w:p>
        </w:tc>
      </w:tr>
      <w:tr>
        <w:trPr>
          <w:trHeight w:val="224"/>
        </w:trPr>
        <w:tc>
          <w:tcPr>
            <w:tcW w:w="4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640,074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678,100</w:t>
            </w:r>
          </w:p>
        </w:tc>
        <w:tc>
          <w:tcPr>
            <w:tcW w:w="20" w:type="dxa"/>
            <w:vAlign w:val="bottom"/>
          </w:tcPr>
          <w:p>
            <w:pPr>
              <w:spacing w:after="0"/>
              <w:rPr>
                <w:sz w:val="19"/>
                <w:szCs w:val="19"/>
                <w:color w:val="auto"/>
              </w:rPr>
            </w:pPr>
          </w:p>
        </w:tc>
      </w:tr>
      <w:tr>
        <w:trPr>
          <w:trHeight w:val="217"/>
        </w:trPr>
        <w:tc>
          <w:tcPr>
            <w:tcW w:w="40" w:type="dxa"/>
            <w:vAlign w:val="bottom"/>
            <w:shd w:val="clear" w:color="auto" w:fill="CCEEFF"/>
          </w:tcPr>
          <w:p>
            <w:pPr>
              <w:spacing w:after="0"/>
              <w:rPr>
                <w:sz w:val="18"/>
                <w:szCs w:val="18"/>
                <w:color w:val="auto"/>
              </w:rPr>
            </w:pP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7,931,907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6,887,919</w:t>
            </w:r>
          </w:p>
        </w:tc>
        <w:tc>
          <w:tcPr>
            <w:tcW w:w="20" w:type="dxa"/>
            <w:vAlign w:val="bottom"/>
          </w:tcPr>
          <w:p>
            <w:pPr>
              <w:spacing w:after="0"/>
              <w:rPr>
                <w:sz w:val="18"/>
                <w:szCs w:val="18"/>
                <w:color w:val="auto"/>
              </w:rPr>
            </w:pPr>
          </w:p>
        </w:tc>
      </w:tr>
      <w:tr>
        <w:trPr>
          <w:trHeight w:val="224"/>
        </w:trPr>
        <w:tc>
          <w:tcPr>
            <w:tcW w:w="4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239,865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211,254</w:t>
            </w:r>
          </w:p>
        </w:tc>
        <w:tc>
          <w:tcPr>
            <w:tcW w:w="20" w:type="dxa"/>
            <w:vAlign w:val="bottom"/>
          </w:tcPr>
          <w:p>
            <w:pPr>
              <w:spacing w:after="0"/>
              <w:rPr>
                <w:sz w:val="19"/>
                <w:szCs w:val="19"/>
                <w:color w:val="auto"/>
              </w:rPr>
            </w:pPr>
          </w:p>
        </w:tc>
      </w:tr>
      <w:tr>
        <w:trPr>
          <w:trHeight w:val="242"/>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revenues</w:t>
            </w:r>
          </w:p>
        </w:tc>
        <w:tc>
          <w:tcPr>
            <w:tcW w:w="320" w:type="dxa"/>
            <w:vAlign w:val="bottom"/>
            <w:tcBorders>
              <w:bottom w:val="single" w:sz="8" w:color="auto"/>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8,171,772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7,099,173</w:t>
            </w:r>
          </w:p>
        </w:tc>
        <w:tc>
          <w:tcPr>
            <w:tcW w:w="20" w:type="dxa"/>
            <w:vAlign w:val="bottom"/>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4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2,478,353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1,569,623</w:t>
            </w:r>
          </w:p>
        </w:tc>
        <w:tc>
          <w:tcPr>
            <w:tcW w:w="20" w:type="dxa"/>
            <w:vAlign w:val="bottom"/>
          </w:tcPr>
          <w:p>
            <w:pPr>
              <w:spacing w:after="0"/>
              <w:rPr>
                <w:sz w:val="19"/>
                <w:szCs w:val="19"/>
                <w:color w:val="auto"/>
              </w:rPr>
            </w:pPr>
          </w:p>
        </w:tc>
      </w:tr>
      <w:tr>
        <w:trPr>
          <w:trHeight w:val="224"/>
        </w:trPr>
        <w:tc>
          <w:tcPr>
            <w:tcW w:w="40" w:type="dxa"/>
            <w:vAlign w:val="bottom"/>
            <w:shd w:val="clear" w:color="auto" w:fill="CCEEFF"/>
          </w:tcPr>
          <w:p>
            <w:pPr>
              <w:spacing w:after="0"/>
              <w:rPr>
                <w:sz w:val="19"/>
                <w:szCs w:val="19"/>
                <w:color w:val="auto"/>
              </w:rPr>
            </w:pP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3,364,985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3,106,715</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1,557,587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1,596,150</w:t>
            </w:r>
          </w:p>
        </w:tc>
        <w:tc>
          <w:tcPr>
            <w:tcW w:w="20" w:type="dxa"/>
            <w:vAlign w:val="bottom"/>
          </w:tcPr>
          <w:p>
            <w:pPr>
              <w:spacing w:after="0"/>
              <w:rPr>
                <w:sz w:val="19"/>
                <w:szCs w:val="19"/>
                <w:color w:val="auto"/>
              </w:rPr>
            </w:pPr>
          </w:p>
        </w:tc>
      </w:tr>
      <w:tr>
        <w:trPr>
          <w:trHeight w:val="224"/>
        </w:trPr>
        <w:tc>
          <w:tcPr>
            <w:tcW w:w="40" w:type="dxa"/>
            <w:vAlign w:val="bottom"/>
            <w:shd w:val="clear" w:color="auto" w:fill="CCEEFF"/>
          </w:tcPr>
          <w:p>
            <w:pPr>
              <w:spacing w:after="0"/>
              <w:rPr>
                <w:sz w:val="19"/>
                <w:szCs w:val="19"/>
                <w:color w:val="auto"/>
              </w:rPr>
            </w:pP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684,487</w:t>
            </w:r>
          </w:p>
        </w:tc>
        <w:tc>
          <w:tcPr>
            <w:tcW w:w="20" w:type="dxa"/>
            <w:vAlign w:val="bottom"/>
          </w:tcPr>
          <w:p>
            <w:pPr>
              <w:spacing w:after="0"/>
              <w:rPr>
                <w:sz w:val="19"/>
                <w:szCs w:val="19"/>
                <w:color w:val="auto"/>
              </w:rPr>
            </w:pPr>
          </w:p>
        </w:tc>
      </w:tr>
      <w:tr>
        <w:trPr>
          <w:trHeight w:val="224"/>
        </w:trPr>
        <w:tc>
          <w:tcPr>
            <w:tcW w:w="4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(120,761)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(69,056)</w:t>
            </w:r>
          </w:p>
        </w:tc>
        <w:tc>
          <w:tcPr>
            <w:tcW w:w="20" w:type="dxa"/>
            <w:vAlign w:val="bottom"/>
          </w:tcPr>
          <w:p>
            <w:pPr>
              <w:spacing w:after="0"/>
              <w:rPr>
                <w:sz w:val="19"/>
                <w:szCs w:val="19"/>
                <w:color w:val="auto"/>
              </w:rPr>
            </w:pPr>
          </w:p>
        </w:tc>
      </w:tr>
      <w:tr>
        <w:trPr>
          <w:trHeight w:val="217"/>
        </w:trPr>
        <w:tc>
          <w:tcPr>
            <w:tcW w:w="40" w:type="dxa"/>
            <w:vAlign w:val="bottom"/>
            <w:shd w:val="clear" w:color="auto" w:fill="CCEEFF"/>
          </w:tcPr>
          <w:p>
            <w:pPr>
              <w:spacing w:after="0"/>
              <w:rPr>
                <w:sz w:val="18"/>
                <w:szCs w:val="18"/>
                <w:color w:val="auto"/>
              </w:rPr>
            </w:pP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7,931,907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6,887,919</w:t>
            </w:r>
          </w:p>
        </w:tc>
        <w:tc>
          <w:tcPr>
            <w:tcW w:w="20" w:type="dxa"/>
            <w:vAlign w:val="bottom"/>
          </w:tcPr>
          <w:p>
            <w:pPr>
              <w:spacing w:after="0"/>
              <w:rPr>
                <w:sz w:val="18"/>
                <w:szCs w:val="18"/>
                <w:color w:val="auto"/>
              </w:rPr>
            </w:pPr>
          </w:p>
        </w:tc>
      </w:tr>
      <w:tr>
        <w:trPr>
          <w:trHeight w:val="224"/>
        </w:trPr>
        <w:tc>
          <w:tcPr>
            <w:tcW w:w="4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239,865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211,254</w:t>
            </w:r>
          </w:p>
        </w:tc>
        <w:tc>
          <w:tcPr>
            <w:tcW w:w="20" w:type="dxa"/>
            <w:vAlign w:val="bottom"/>
          </w:tcPr>
          <w:p>
            <w:pPr>
              <w:spacing w:after="0"/>
              <w:rPr>
                <w:sz w:val="19"/>
                <w:szCs w:val="19"/>
                <w:color w:val="auto"/>
              </w:rPr>
            </w:pPr>
          </w:p>
        </w:tc>
      </w:tr>
      <w:tr>
        <w:trPr>
          <w:trHeight w:val="242"/>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revenues</w:t>
            </w:r>
          </w:p>
        </w:tc>
        <w:tc>
          <w:tcPr>
            <w:tcW w:w="320" w:type="dxa"/>
            <w:vAlign w:val="bottom"/>
            <w:tcBorders>
              <w:bottom w:val="single" w:sz="8" w:color="auto"/>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8,171,772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7,099,173</w:t>
            </w:r>
          </w:p>
        </w:tc>
        <w:tc>
          <w:tcPr>
            <w:tcW w:w="20" w:type="dxa"/>
            <w:vAlign w:val="bottom"/>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9"/>
        </w:trPr>
        <w:tc>
          <w:tcPr>
            <w:tcW w:w="4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6"/>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24"/>
                <w:szCs w:val="24"/>
                <w:color w:val="auto"/>
              </w:rPr>
            </w:pPr>
          </w:p>
        </w:tc>
      </w:tr>
      <w:tr>
        <w:trPr>
          <w:trHeight w:val="191"/>
        </w:trPr>
        <w:tc>
          <w:tcPr>
            <w:tcW w:w="4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r>
      <w:tr>
        <w:trPr>
          <w:trHeight w:val="210"/>
        </w:trPr>
        <w:tc>
          <w:tcPr>
            <w:tcW w:w="4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0" w:type="dxa"/>
            <w:vAlign w:val="bottom"/>
          </w:tcPr>
          <w:p>
            <w:pPr>
              <w:spacing w:after="0"/>
              <w:rPr>
                <w:sz w:val="19"/>
                <w:szCs w:val="19"/>
                <w:color w:val="auto"/>
              </w:rPr>
            </w:pPr>
          </w:p>
        </w:tc>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88,577</w:t>
            </w:r>
          </w:p>
        </w:tc>
        <w:tc>
          <w:tcPr>
            <w:tcW w:w="20" w:type="dxa"/>
            <w:vAlign w:val="bottom"/>
            <w:shd w:val="clear" w:color="auto" w:fill="CCEEFF"/>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213,440</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46,839</w:t>
            </w:r>
          </w:p>
        </w:tc>
        <w:tc>
          <w:tcPr>
            <w:tcW w:w="20" w:type="dxa"/>
            <w:vAlign w:val="bottom"/>
            <w:shd w:val="clear" w:color="auto" w:fill="CCEEFF"/>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20" w:type="dxa"/>
            <w:vAlign w:val="bottom"/>
            <w:tcBorders>
              <w:bottom w:val="single" w:sz="8" w:color="auto"/>
            </w:tcBorders>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361,602</w:t>
            </w:r>
          </w:p>
        </w:tc>
        <w:tc>
          <w:tcPr>
            <w:tcW w:w="20" w:type="dxa"/>
            <w:vAlign w:val="bottom"/>
            <w:shd w:val="clear" w:color="auto" w:fill="CCEEFF"/>
          </w:tcPr>
          <w:p>
            <w:pPr>
              <w:spacing w:after="0"/>
              <w:rPr>
                <w:sz w:val="18"/>
                <w:szCs w:val="18"/>
                <w:color w:val="auto"/>
              </w:rPr>
            </w:pPr>
          </w:p>
        </w:tc>
      </w:tr>
      <w:tr>
        <w:trPr>
          <w:trHeight w:val="224"/>
        </w:trPr>
        <w:tc>
          <w:tcPr>
            <w:tcW w:w="4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administration</w:t>
            </w: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(34,571)</w:t>
            </w:r>
          </w:p>
        </w:tc>
        <w:tc>
          <w:tcPr>
            <w:tcW w:w="20" w:type="dxa"/>
            <w:vAlign w:val="bottom"/>
            <w:tcBorders>
              <w:bottom w:val="single" w:sz="8" w:color="auto"/>
            </w:tcBorders>
            <w:shd w:val="clear" w:color="auto" w:fill="CCEEFF"/>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332,808</w:t>
            </w:r>
          </w:p>
        </w:tc>
        <w:tc>
          <w:tcPr>
            <w:tcW w:w="20" w:type="dxa"/>
            <w:vAlign w:val="bottom"/>
          </w:tcPr>
          <w:p>
            <w:pPr>
              <w:spacing w:after="0"/>
              <w:rPr>
                <w:sz w:val="18"/>
                <w:szCs w:val="18"/>
                <w:color w:val="auto"/>
              </w:rPr>
            </w:pPr>
          </w:p>
        </w:tc>
      </w:tr>
      <w:tr>
        <w:trPr>
          <w:trHeight w:val="224"/>
        </w:trPr>
        <w:tc>
          <w:tcPr>
            <w:tcW w:w="4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20" w:type="dxa"/>
            <w:vAlign w:val="bottom"/>
            <w:tcBorders>
              <w:bottom w:val="single" w:sz="8" w:color="auto"/>
            </w:tcBorders>
            <w:shd w:val="clear" w:color="auto" w:fill="CCEEFF"/>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339,135</w:t>
            </w:r>
          </w:p>
        </w:tc>
        <w:tc>
          <w:tcPr>
            <w:tcW w:w="20" w:type="dxa"/>
            <w:vAlign w:val="bottom"/>
            <w:tcBorders>
              <w:bottom w:val="single" w:sz="8" w:color="auto"/>
            </w:tcBorders>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 (Continued)</w:t>
      </w:r>
    </w:p>
    <w:p>
      <w:pPr>
        <w:spacing w:after="0" w:line="9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spacing w:after="0" w:line="2"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180,166</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364,160</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r>
      <w:tr>
        <w:trPr>
          <w:trHeight w:val="224"/>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30,712</w:t>
            </w:r>
          </w:p>
        </w:tc>
      </w:tr>
      <w:tr>
        <w:trPr>
          <w:trHeight w:val="21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655,336</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(73,729)</w:t>
            </w:r>
          </w:p>
        </w:tc>
      </w:tr>
      <w:tr>
        <w:trPr>
          <w:trHeight w:val="21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592,761</w:t>
            </w:r>
          </w:p>
        </w:tc>
      </w:tr>
      <w:tr>
        <w:trPr>
          <w:trHeight w:val="22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w:t>
            </w:r>
          </w:p>
        </w:tc>
      </w:tr>
      <w:tr>
        <w:trPr>
          <w:trHeight w:val="21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736,224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606,851</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provide the significant expenses that are regularly provided to and reviewed by our CODM for each of our reportable segments for the three and six months ended June 30, 2025 and 2024 (in thousands):</w:t>
      </w:r>
    </w:p>
    <w:p>
      <w:pPr>
        <w:spacing w:after="0" w:line="33"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653,166</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1,395,519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1,328,642</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633,130</w:t>
            </w:r>
          </w:p>
        </w:tc>
      </w:tr>
      <w:tr>
        <w:trPr>
          <w:trHeight w:val="224"/>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274,355</w:t>
            </w:r>
          </w:p>
        </w:tc>
      </w:tr>
      <w:tr>
        <w:trPr>
          <w:trHeight w:val="21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3,352,640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2,889,293</w:t>
            </w:r>
          </w:p>
        </w:tc>
      </w:tr>
      <w:tr>
        <w:trPr>
          <w:trHeight w:val="224"/>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93,603</w:t>
            </w:r>
          </w:p>
        </w:tc>
      </w:tr>
      <w:tr>
        <w:trPr>
          <w:trHeight w:val="242"/>
        </w:trPr>
        <w:tc>
          <w:tcPr>
            <w:tcW w:w="8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cost of sales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3,470,629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2,982,896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53"/>
        </w:trPr>
        <w:tc>
          <w:tcPr>
            <w:tcW w:w="8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0"/>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9"/>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1,956,431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1,280,035</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2,661,229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2,508,047</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1,277,440</w:t>
            </w:r>
          </w:p>
        </w:tc>
      </w:tr>
      <w:tr>
        <w:trPr>
          <w:trHeight w:val="224"/>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574,421</w:t>
            </w:r>
          </w:p>
        </w:tc>
      </w:tr>
      <w:tr>
        <w:trPr>
          <w:trHeight w:val="21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6,404,197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5,639,943</w:t>
            </w:r>
          </w:p>
        </w:tc>
      </w:tr>
      <w:tr>
        <w:trPr>
          <w:trHeight w:val="224"/>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185,920</w:t>
            </w:r>
          </w:p>
        </w:tc>
      </w:tr>
      <w:tr>
        <w:trPr>
          <w:trHeight w:val="242"/>
        </w:trPr>
        <w:tc>
          <w:tcPr>
            <w:tcW w:w="8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cost of sales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6,615,283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5,825,863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 (Continued)</w:t>
      </w:r>
    </w:p>
    <w:p>
      <w:pPr>
        <w:spacing w:after="0" w:line="9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58,251</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113,099</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101,139</w:t>
            </w:r>
          </w:p>
        </w:tc>
      </w:tr>
      <w:tr>
        <w:trPr>
          <w:trHeight w:val="224"/>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36,946</w:t>
            </w:r>
          </w:p>
        </w:tc>
      </w:tr>
      <w:tr>
        <w:trPr>
          <w:trHeight w:val="21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309,435</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34,571</w:t>
            </w:r>
          </w:p>
        </w:tc>
      </w:tr>
      <w:tr>
        <w:trPr>
          <w:trHeight w:val="21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expenses</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418,559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351,193</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585"/>
        </w:trPr>
        <w:tc>
          <w:tcPr>
            <w:tcW w:w="8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1"/>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0"/>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104,504</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210,639</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204,530</w:t>
            </w:r>
          </w:p>
        </w:tc>
      </w:tr>
      <w:tr>
        <w:trPr>
          <w:trHeight w:val="224"/>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72,967</w:t>
            </w:r>
          </w:p>
        </w:tc>
      </w:tr>
      <w:tr>
        <w:trPr>
          <w:trHeight w:val="21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592,640</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14,180</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73,729</w:t>
            </w:r>
          </w:p>
        </w:tc>
      </w:tr>
      <w:tr>
        <w:trPr>
          <w:trHeight w:val="21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expenses</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822,521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680,549</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present other financial information for each of our reportable segments for the three and six months ended June 30, 2025 and 2024 (in thousands):</w:t>
      </w:r>
    </w:p>
    <w:p>
      <w:pPr>
        <w:spacing w:after="0" w:line="33"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24"/>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r>
      <w:tr>
        <w:trPr>
          <w:trHeight w:val="21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depreciation and amortization of property, plant, and equipment</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14,071</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 (Continued)</w:t>
      </w:r>
    </w:p>
    <w:p>
      <w:pPr>
        <w:spacing w:after="0" w:line="9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spacing w:after="0" w:line="2"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r>
      <w:tr>
        <w:trPr>
          <w:trHeight w:val="224"/>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r>
      <w:tr>
        <w:trPr>
          <w:trHeight w:val="21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25,053</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1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depreciation and amortization of property, plant, and equipment</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27,408</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585"/>
        </w:trPr>
        <w:tc>
          <w:tcPr>
            <w:tcW w:w="8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1"/>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0"/>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r>
      <w:tr>
        <w:trPr>
          <w:trHeight w:val="224"/>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w:t>
            </w:r>
          </w:p>
        </w:tc>
      </w:tr>
      <w:tr>
        <w:trPr>
          <w:trHeight w:val="21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20,161</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8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amortization of identifiable intangible assets</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53"/>
        </w:trPr>
        <w:tc>
          <w:tcPr>
            <w:tcW w:w="8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For the six months ended</w:t>
            </w:r>
          </w:p>
        </w:tc>
      </w:tr>
      <w:tr>
        <w:trPr>
          <w:trHeight w:val="190"/>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9"/>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10,992</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r>
      <w:tr>
        <w:trPr>
          <w:trHeight w:val="224"/>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11,459</w:t>
            </w:r>
          </w:p>
        </w:tc>
      </w:tr>
      <w:tr>
        <w:trPr>
          <w:trHeight w:val="21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8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amortization of identifiable intangible assets</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 (Continued)</w:t>
      </w:r>
    </w:p>
    <w:p>
      <w:pPr>
        <w:spacing w:after="0" w:line="9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r>
      <w:tr>
        <w:trPr>
          <w:trHeight w:val="224"/>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1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17,166</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19,251</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415"/>
        </w:trPr>
        <w:tc>
          <w:tcPr>
            <w:tcW w:w="8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0"/>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9"/>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16,553</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w:t>
            </w:r>
          </w:p>
        </w:tc>
      </w:tr>
      <w:tr>
        <w:trPr>
          <w:trHeight w:val="224"/>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r>
      <w:tr>
        <w:trPr>
          <w:trHeight w:val="21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34,953</w:t>
            </w:r>
          </w:p>
        </w:tc>
      </w:tr>
      <w:tr>
        <w:trPr>
          <w:trHeight w:val="22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1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39,529</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total assets for each of our reportable segments as of June 30, 2025 and December 31, 2024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4"/>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2,649,544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1,314,577</w:t>
            </w:r>
          </w:p>
        </w:tc>
      </w:tr>
      <w:tr>
        <w:trPr>
          <w:trHeight w:val="224"/>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2,659,184</w:t>
            </w:r>
          </w:p>
        </w:tc>
      </w:tr>
      <w:tr>
        <w:trPr>
          <w:trHeight w:val="224"/>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1,396,236</w:t>
            </w:r>
          </w:p>
        </w:tc>
      </w:tr>
      <w:tr>
        <w:trPr>
          <w:trHeight w:val="224"/>
        </w:trPr>
        <w:tc>
          <w:tcPr>
            <w:tcW w:w="8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606,861</w:t>
            </w:r>
          </w:p>
        </w:tc>
      </w:tr>
      <w:tr>
        <w:trPr>
          <w:trHeight w:val="217"/>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7,473,766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5,976,858</w:t>
            </w:r>
          </w:p>
        </w:tc>
      </w:tr>
      <w:tr>
        <w:trPr>
          <w:trHeight w:val="224"/>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283,897</w:t>
            </w:r>
          </w:p>
        </w:tc>
      </w:tr>
      <w:tr>
        <w:trPr>
          <w:trHeight w:val="224"/>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1,455,718</w:t>
            </w:r>
          </w:p>
        </w:tc>
      </w:tr>
      <w:tr>
        <w:trPr>
          <w:trHeight w:val="217"/>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8,400,480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7,716,473</w:t>
            </w: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Description</w:t>
      </w:r>
    </w:p>
    <w:p>
      <w:pPr>
        <w:spacing w:after="0" w:line="150"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We are one of the largest specialty contractors in the United States and a leading provider of electrical and mechanical construction and facilities services, building services, and industrial services. Our services are provided to a broad range of commercial, technology, manufacturing, industrial, healthcare, utility, and institutional customers through approximately 100 operating subsidiaries. Such operating subsidiaries are organized into the following reportable segments:</w:t>
      </w:r>
    </w:p>
    <w:p>
      <w:pPr>
        <w:spacing w:after="0" w:line="40" w:lineRule="exact"/>
        <w:rPr>
          <w:sz w:val="20"/>
          <w:szCs w:val="20"/>
          <w:color w:val="auto"/>
        </w:rPr>
      </w:pPr>
    </w:p>
    <w:p>
      <w:pPr>
        <w:ind w:left="440" w:hanging="237"/>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electrical construction and facilities services;</w:t>
      </w:r>
    </w:p>
    <w:p>
      <w:pPr>
        <w:spacing w:after="0" w:line="108" w:lineRule="exact"/>
        <w:rPr>
          <w:rFonts w:ascii="Times New Roman" w:cs="Times New Roman" w:eastAsia="Times New Roman" w:hAnsi="Times New Roman"/>
          <w:sz w:val="18"/>
          <w:szCs w:val="18"/>
          <w:color w:val="auto"/>
        </w:rPr>
      </w:pPr>
    </w:p>
    <w:p>
      <w:pPr>
        <w:ind w:left="440" w:hanging="237"/>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mechanical construction and facilities services;</w:t>
      </w:r>
    </w:p>
    <w:p>
      <w:pPr>
        <w:spacing w:after="0" w:line="108" w:lineRule="exact"/>
        <w:rPr>
          <w:rFonts w:ascii="Times New Roman" w:cs="Times New Roman" w:eastAsia="Times New Roman" w:hAnsi="Times New Roman"/>
          <w:sz w:val="18"/>
          <w:szCs w:val="18"/>
          <w:color w:val="auto"/>
        </w:rPr>
      </w:pPr>
    </w:p>
    <w:p>
      <w:pPr>
        <w:ind w:left="440" w:hanging="237"/>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building services;</w:t>
      </w:r>
    </w:p>
    <w:p>
      <w:pPr>
        <w:spacing w:after="0" w:line="108" w:lineRule="exact"/>
        <w:rPr>
          <w:rFonts w:ascii="Times New Roman" w:cs="Times New Roman" w:eastAsia="Times New Roman" w:hAnsi="Times New Roman"/>
          <w:sz w:val="18"/>
          <w:szCs w:val="18"/>
          <w:color w:val="auto"/>
        </w:rPr>
      </w:pPr>
    </w:p>
    <w:p>
      <w:pPr>
        <w:ind w:left="440" w:hanging="237"/>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industrial services; and</w:t>
      </w:r>
    </w:p>
    <w:p>
      <w:pPr>
        <w:spacing w:after="0" w:line="108" w:lineRule="exact"/>
        <w:rPr>
          <w:rFonts w:ascii="Times New Roman" w:cs="Times New Roman" w:eastAsia="Times New Roman" w:hAnsi="Times New Roman"/>
          <w:sz w:val="18"/>
          <w:szCs w:val="18"/>
          <w:color w:val="auto"/>
        </w:rPr>
      </w:pPr>
    </w:p>
    <w:p>
      <w:pPr>
        <w:ind w:left="440" w:hanging="237"/>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building services.</w:t>
      </w:r>
    </w:p>
    <w:p>
      <w:pPr>
        <w:spacing w:after="0" w:line="14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refer to our United States electrical construction and facilities services segment and our United States mechanical construction and facilities services segment together as our United States construction segments.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a more complete description of our operations, refer to Item 1. Business of our Form 10-K for the year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selected financial data for the quarters ended June 30, 2025 and 2024 (in thousands, except for percentages and per share data):</w:t>
      </w:r>
    </w:p>
    <w:p>
      <w:pPr>
        <w:spacing w:after="0" w:line="125"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80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4,304,400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3,666,897</w:t>
            </w:r>
          </w:p>
        </w:tc>
      </w:tr>
      <w:tr>
        <w:trPr>
          <w:trHeight w:val="224"/>
        </w:trPr>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Revenues increase from prior year</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r>
      <w:tr>
        <w:trPr>
          <w:trHeight w:val="22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833,771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684,001</w:t>
            </w:r>
          </w:p>
        </w:tc>
      </w:tr>
      <w:tr>
        <w:trPr>
          <w:trHeight w:val="224"/>
        </w:trPr>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Gross profit as a percentage of revenues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r>
      <w:tr>
        <w:trPr>
          <w:trHeight w:val="22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415,212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332,808</w:t>
            </w:r>
          </w:p>
        </w:tc>
      </w:tr>
      <w:tr>
        <w:trPr>
          <w:trHeight w:val="224"/>
        </w:trPr>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income as a percentage of revenues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2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302,160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247,572</w:t>
            </w:r>
          </w:p>
        </w:tc>
      </w:tr>
      <w:tr>
        <w:trPr>
          <w:trHeight w:val="228"/>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5.25</w:t>
            </w:r>
          </w:p>
        </w:tc>
      </w:tr>
    </w:tbl>
    <w:p>
      <w:pPr>
        <w:spacing w:after="0" w:line="21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Revenues of $4.30 billion for the quarter ended June 30, 2025 set a new quarterly record for the Company and represent an increase of 17.4% from revenues of $3.67 billion for the quarter ended June 30, 2024. Demand for our services continues to be strong across most of the market sectors we serve and, as described in further detail below, we experienced revenue growth within all of our reportable segments, except for our United States industrial services segment. Revenues for the second quarter of 2025 included incremental acquisition contribution of approximately $330.3 million.</w:t>
      </w:r>
    </w:p>
    <w:p>
      <w:pPr>
        <w:spacing w:after="0" w:line="13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Operating income for the quarter ended June 30, 2025 was $415.2 million, establishing a new quarterly record for the Company, and operating margin was 9.6%, a record for the Company with respect to a second quarter. This compares to operating income of $332.8 million, or 9.1% of revenues, for the quarter ended June 30, 2024. The $82.4 million increase in operating income, and corresponding 50 basis point expansion in operating margin, were predominantly a result of improved operating performance within our United States construction segments, as described in further detail below. Operating income for the quarter ended June 30, 2025 included incremental acquisition contribution of $9.2 million, net of amortization expense attributable to identifiable intangible assets of $12.5 million.</w:t>
      </w:r>
    </w:p>
    <w:p>
      <w:pPr>
        <w:spacing w:after="0" w:line="13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Net income of $302.2 million, or $6.72 per diluted share, for the quarter ended June 30, 2025 compares favorably to net income of $247.6 million, or $5.25 per diluted share, for the quarter ended June 30, 2024. While the majority of the increase in our net income and diluted earnings per share was a result of the increased operating income referenced above, diluted earnings per share for the quarter ended June 30, 2025 additionally benefited from a reduced weighted average share count given the impact of common stock repurchases made by us throughout 2024 and the first half of 2025.</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Acquisitions</w:t>
      </w:r>
    </w:p>
    <w:p>
      <w:pPr>
        <w:spacing w:after="0" w:line="71"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In order to provide a more meaningful period-over-period discussion of our operating results, we may discuss amounts generated or incurred (revenues, gross profit, selling, general and administrative expenses, and operating income) from companies acquired. These amounts reflect the acquired companies’ operating results in the current reported period only for the time period these entities were not owned by EMCOR in the comparable prior reported period. For further discussion regarding our acquisitions, refer to Note 4 - Acquisitions of Businesses of the notes to consolidated financial statements.</w:t>
      </w:r>
    </w:p>
    <w:p>
      <w:pPr>
        <w:spacing w:after="0" w:line="4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During the first quarter of 2025, we completed the acquisition of Miller Electric Company (“Miller Electric”), a leading electrical contractor predominantly operating across the Southeastern United States, for total consideration of approximately $868.6 million. The results of operations for Miller Electric have been included within our United States electrical construction and facilities services segment. In addition, during the first half of 2025, we acquired three companies for upfront consideration of $38.8 million, inclusive of customary working capital adjustments. Such acquisitions include: (a) a company in the Midwestern region of the United States that provides building automation controls and solutions to commercial, institutional, and industrial customers, (b) a company that adds capabilities to our national fire protection offerings, and (c) a provider of mechanical construction and maintenance services in the Western region of the United States. The results of operations of these three companies have been included within our United States mechanical construction and facilities services segment.</w:t>
      </w:r>
    </w:p>
    <w:p>
      <w:pPr>
        <w:spacing w:after="0" w:line="8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acquired seven companies during calendar year 2024 for upfront consideration of $231.1 million, inclusive of customary working capital adjustments. These acquisitions are comprised of: (a) an electrical contractor in the Southeast region of the United States, that has been included in our United States electrical construction and facilities services segment, (b) two companies that have been included within our United States mechanical construction and facilities services segment, including: (i) a leading plumbing services provider in the Southeast region of the United States and (ii) a full service provider of mechanical construction and maintenance services in Central Texas, (c) three companies that have been included in our United States building services segment, including: (i) a provider of building automation and controls solutions in the Northeast region of the United States, (ii) a mechanical services company in the Western region of the United States, and (iii) a mechanical services company in the Eastern region of the United States, and (d) an instrumentation and electrical contractor, that has been included in our United States industrial services segment, which provides electrical, automation, digital integration, and fabrication services to various energy sector and process equipment customers.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32"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tables present our operating segment revenues from unrelated entities and their respective percentages of total revenues (in thousands, except for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80" w:type="dxa"/>
            <w:vAlign w:val="bottom"/>
            <w:gridSpan w:val="6"/>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 June 30,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30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30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17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1,340,247</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799,994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1,755,258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1,655,181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793,259</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781,108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281,072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1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4,169,836</w:t>
            </w:r>
          </w:p>
        </w:tc>
        <w:tc>
          <w:tcPr>
            <w:tcW w:w="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3,560,330</w:t>
            </w:r>
          </w:p>
        </w:tc>
        <w:tc>
          <w:tcPr>
            <w:tcW w:w="10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1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134,564</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106,567</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revenues</w:t>
            </w:r>
          </w:p>
        </w:tc>
        <w:tc>
          <w:tcPr>
            <w:tcW w:w="1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4,304,400</w:t>
            </w:r>
          </w:p>
        </w:tc>
        <w:tc>
          <w:tcPr>
            <w:tcW w:w="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3,666,897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gridSpan w:val="5"/>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300"/>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ind w:left="300"/>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17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2,428,091</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1,564,705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3,327,860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3,082,846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1,535,882</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1,562,268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640,074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1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7,931,907</w:t>
            </w:r>
          </w:p>
        </w:tc>
        <w:tc>
          <w:tcPr>
            <w:tcW w:w="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6,887,919</w:t>
            </w:r>
          </w:p>
        </w:tc>
        <w:tc>
          <w:tcPr>
            <w:tcW w:w="10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1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239,865</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211,254</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revenues</w:t>
            </w:r>
          </w:p>
        </w:tc>
        <w:tc>
          <w:tcPr>
            <w:tcW w:w="14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8,171,772</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7,099,173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692"/>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50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As described in more detail below, due to strong demand for our services across most of the market sectors we serve, our consolidated revenues for the three months ended June 30, 2025 increased to $4.30 billion compared to $3.67 billion for the three months ended June 30, 2024, and our consolidated revenues for the six months ended June 30, 2025 increased to $8.17 billion compared to $7.10 billion for the six months ended June 30, 2024. We experienced revenue growth within the majority of our reportable segments, with the most significant increases being generated from our United States construction segments. Revenues for the three and six months ended June 30, 2025 included incremental acquisition contribution of approximately $330.3 million and $581.2 million, respectively.</w:t>
      </w:r>
    </w:p>
    <w:p>
      <w:pPr>
        <w:spacing w:after="0" w:line="13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Revenues of our United States electrical construction and facilities services segment were $1,340.2 million for the three months ended June 30, 2025, a $540.3 million increase compared to revenues of $800.0 million for the three months ended June 30, 2024. Revenues of this segment for the six months ended June 30, 2025 were $2,428.1 million, an $863.4 million increase compared to revenues of $1,564.7 million for the six months ended June 30, 2024. This segment’s results for the three and six months ended June 30, 2025 included $321.3 million and $507.6 million, respectively, of incremental acquisition revenues, almost entirely from Miller Electric. From a market sector perspective, increased revenues were generated from nearly all of the sectors we serve. While the largest increase in revenues was seen within the network and communications market sector, predominantly driven by greater demand for data center construction projects, this segment also experienced notable revenue growth within: (a) the healthcare market sector, as a result of greater project activity across several of the geographies in which we operate, (b) the commercial market sector, inclusive of certain office and tenant fit-out projects, (c) the institutional market sector, given an increase in revenues from public sector projects, and (d) the transportation market sector, due to certain infrastructure projects currently underway. Revenues of this segment for both the three and six months ended June 30, 2025 additionally benefited from greater levels of short-duration projects and service work.</w:t>
      </w:r>
    </w:p>
    <w:p>
      <w:pPr>
        <w:spacing w:after="0" w:line="140"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Our United States mechanical construction and facilities services segment revenues for the three months ended June 30, 2025 were $1,755.3 million, a $100.1 million increase compared to revenues of $1,655.2 million for the three months ended June 30, 2024. For the six months ended June 30, 2025, revenues of this segment were $3,327.9 million, a $245.0 million increase compared to revenues of $3,082.8 million for the six months ended June 30, 2024. This segment’s results for the three and six months ended June 30, 2025 included $4.0 million and $51.3 million, respectively, of incremental acquisition revenues. Similar to our United States electrical construction and facilities services segment, this segment experienced the most significant increase in revenues within the network and communications market sector due to greater demand for data center construction projects. In addition to data centers, notable revenue growth was generated from: (a) the manufacturing and industrial market sector, primarily driven by certain food processing projects, and (b) the hospitality and entertainment market sector, given increased project activity, largely in the Western region of the United States. Further contributing to the revenue increase within this segment were greater levels of short-duration projects and service work. These increases were partially offset by revenue declines from: (a) the high-tech manufacturing market sector, as we near completion of certain semiconductor manufacturing construction projects, and (b) the commercial market sector, as a result of: (i) fewer active warehousing and distribution projects for some of our e-commerce customers, and (ii) the completion or substantial completion of several tenant fit-out or office projects.</w:t>
      </w:r>
    </w:p>
    <w:p>
      <w:pPr>
        <w:spacing w:after="0" w:line="13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Revenues of our United States building services segment were $793.3 million and $1,535.9 million for the three and six months ended June 30, 2025, respectively, compared to revenues of $781.1 million and $1,562.3 million for the three and six months ended June 30, 2024. This segment’s revenues for the six months ended June 30, 2025 included incremental acquisition contribution of $2.6 million. For both 2025 periods, this segment’s mechanical services division experienced revenue growth from: (a) HVAC project and retrofit work, as demand for these services remained strong, partially as our customers continue to seek ways to improve the energy efficiency of their facilities, (b) service repair and maintenance volumes, given growth in our service contract base, and (c) building automation and controls projects, as we continue to expand our service offerings in this area. Offsetting the strength of the mechanical services division were revenue declines within this segment’s commercial site-based and government site-based services divisions due to the loss of certain facilities maintenance contracts that were not renewed upon rebid in a prior period.</w:t>
      </w:r>
    </w:p>
    <w:p>
      <w:pPr>
        <w:spacing w:after="0" w:line="138"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Revenues of our United States industrial services segment for the three months ended June 30, 2025 were $281.1 million, a decrease of $43.0 million compared to revenues of $324.0 million for the three months ended June 30, 2024. Revenues of this segment for the six months ended June 30, 2025 were $640.1 million, a decrease of $38.0 million compared to revenues of $678.1 million for the six months ended June 30, 2024. This segment’s results for the three and six months ended June 30, 2025 included $5.0 million and $19.7 million, respectively, of incremental acquisition revenues. The reduction in this segment’s revenues for both 2025 periods resulted from: (a) its field services division, given: (i) lower turnaround project demand when compared to the prior year, which benefited from scope growth on certain projects and (ii) the completion of a renewable fuel project, which was active throughout 2024, and (b) its shop services division, largely due to fewer new build heat exchanger sales.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100" w:firstLine="395"/>
        <w:spacing w:after="0" w:line="249" w:lineRule="auto"/>
        <w:rPr>
          <w:sz w:val="20"/>
          <w:szCs w:val="20"/>
          <w:color w:val="auto"/>
        </w:rPr>
      </w:pPr>
      <w:r>
        <w:rPr>
          <w:rFonts w:ascii="Times New Roman" w:cs="Times New Roman" w:eastAsia="Times New Roman" w:hAnsi="Times New Roman"/>
          <w:sz w:val="18"/>
          <w:szCs w:val="18"/>
          <w:color w:val="auto"/>
        </w:rPr>
        <w:t>Our United Kingdom building services segment revenues were $134.6 million and $239.9 million for the three and six months ended June 30, 2025, respectively, compared to revenues of $106.6 million and $211.3 million for the three and six months ended June 30, 2024, respectively. The increase in this segment’s revenues for both 2025 periods was due to: (a) greater service revenues, partially as a result of the recent award of a facilities maintenance contract by a new customer, and (b) increased project work, largely within the manufacturing and industrial and network and communications market sectors. Revenues of this segment for the three and six months ended June 30, 2025 were positively impacted by $7.4 million and $6.8 million, respectively, given favorable exchange rate movements for the British pound versus the United States dollar.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 and gross profit</w:t>
      </w:r>
    </w:p>
    <w:p>
      <w:pPr>
        <w:spacing w:after="0" w:line="137" w:lineRule="exact"/>
        <w:rPr>
          <w:sz w:val="20"/>
          <w:szCs w:val="20"/>
          <w:color w:val="auto"/>
        </w:rPr>
      </w:pPr>
    </w:p>
    <w:p>
      <w:pPr>
        <w:jc w:val="both"/>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our cost of sales, gross profit (revenues less cost of sales), and gross profit as a percentage of revenues (“gross profit margin”) (in thousands, except for percentages):</w:t>
      </w:r>
    </w:p>
    <w:p>
      <w:pPr>
        <w:spacing w:after="0" w:line="10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20" w:type="dxa"/>
            <w:vAlign w:val="bottom"/>
          </w:tcPr>
          <w:p>
            <w:pPr>
              <w:spacing w:after="0"/>
              <w:rPr>
                <w:sz w:val="13"/>
                <w:szCs w:val="13"/>
                <w:color w:val="auto"/>
              </w:rPr>
            </w:pPr>
          </w:p>
        </w:tc>
        <w:tc>
          <w:tcPr>
            <w:tcW w:w="2340" w:type="dxa"/>
            <w:vAlign w:val="bottom"/>
            <w:gridSpan w:val="5"/>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0"/>
        </w:trPr>
        <w:tc>
          <w:tcPr>
            <w:tcW w:w="5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3,470,629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2,982,896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6,615,283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5,825,86</w:t>
            </w:r>
          </w:p>
        </w:tc>
      </w:tr>
      <w:tr>
        <w:trPr>
          <w:trHeight w:val="22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833,771</w:t>
            </w:r>
          </w:p>
        </w:tc>
        <w:tc>
          <w:tcPr>
            <w:tcW w:w="6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684,001</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1,556,489</w:t>
            </w:r>
          </w:p>
        </w:tc>
        <w:tc>
          <w:tcPr>
            <w:tcW w:w="6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1,273,31</w:t>
            </w:r>
          </w:p>
        </w:tc>
      </w:tr>
      <w:tr>
        <w:trPr>
          <w:trHeight w:val="22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79" w:lineRule="exact"/>
        <w:rPr>
          <w:sz w:val="20"/>
          <w:szCs w:val="20"/>
          <w:color w:val="auto"/>
        </w:rPr>
      </w:pPr>
    </w:p>
    <w:p>
      <w:pPr>
        <w:jc w:val="both"/>
        <w:ind w:right="100" w:firstLine="395"/>
        <w:spacing w:after="0" w:line="248" w:lineRule="auto"/>
        <w:rPr>
          <w:sz w:val="20"/>
          <w:szCs w:val="20"/>
          <w:color w:val="auto"/>
        </w:rPr>
      </w:pPr>
      <w:r>
        <w:rPr>
          <w:rFonts w:ascii="Times New Roman" w:cs="Times New Roman" w:eastAsia="Times New Roman" w:hAnsi="Times New Roman"/>
          <w:sz w:val="18"/>
          <w:szCs w:val="18"/>
          <w:color w:val="auto"/>
        </w:rPr>
        <w:t>Our gross profit for the three months ended June 30, 2025 was $833.8 million, or 19.4% of revenues, compared to gross profit of $684.0 million, or 18.7% of revenues, for the three months ended June 30, 2024. Gross profit for the six months ended June 30, 2025 was $1,556.5 million, or 19.0% of revenues, compared to gross profit of $1,273.3 million, or 17.9% of revenues, for the six months ended June 30, 2024. The year-over-year increases in gross profit and the expansion in gross profit margin were driven by both of our United States construction segments, as well as our United States building services segment, in each case due to an improved revenue mix and excellent project execution. Our gross profit for the three and six months ended June 30, 2025 included incremental acquisition contribution of $43.7 million and $85.4 million, respectively, net of amortization expense attributable to identifiable intangible assets of $7.0 million and $12.4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37" w:lineRule="exact"/>
        <w:rPr>
          <w:sz w:val="20"/>
          <w:szCs w:val="20"/>
          <w:color w:val="auto"/>
        </w:rPr>
      </w:pPr>
    </w:p>
    <w:p>
      <w:pPr>
        <w:jc w:val="both"/>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our selling, general and administrative expenses (“SG&amp;A”) and selling, general and administrative expenses as a percentage of revenues (“SG&amp;A margin”) (in thousands, except for percentages):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13"/>
                <w:szCs w:val="13"/>
                <w:color w:val="auto"/>
              </w:rPr>
            </w:pPr>
          </w:p>
        </w:tc>
        <w:tc>
          <w:tcPr>
            <w:tcW w:w="2580" w:type="dxa"/>
            <w:vAlign w:val="bottom"/>
            <w:gridSpan w:val="5"/>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0"/>
        </w:trPr>
        <w:tc>
          <w:tcPr>
            <w:tcW w:w="5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r>
      <w:tr>
        <w:trPr>
          <w:trHeight w:val="190"/>
        </w:trPr>
        <w:tc>
          <w:tcPr>
            <w:tcW w:w="5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418,559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351,193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822,521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680,549</w:t>
            </w: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 margin</w:t>
            </w:r>
          </w:p>
        </w:tc>
        <w:tc>
          <w:tcPr>
            <w:tcW w:w="3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bl>
    <w:p>
      <w:pPr>
        <w:spacing w:after="0" w:line="148" w:lineRule="exact"/>
        <w:rPr>
          <w:sz w:val="20"/>
          <w:szCs w:val="20"/>
          <w:color w:val="auto"/>
        </w:rPr>
      </w:pPr>
    </w:p>
    <w:p>
      <w:pPr>
        <w:jc w:val="both"/>
        <w:ind w:right="100" w:firstLine="395"/>
        <w:spacing w:after="0" w:line="247" w:lineRule="auto"/>
        <w:rPr>
          <w:sz w:val="20"/>
          <w:szCs w:val="20"/>
          <w:color w:val="auto"/>
        </w:rPr>
      </w:pPr>
      <w:r>
        <w:rPr>
          <w:rFonts w:ascii="Times New Roman" w:cs="Times New Roman" w:eastAsia="Times New Roman" w:hAnsi="Times New Roman"/>
          <w:sz w:val="18"/>
          <w:szCs w:val="18"/>
          <w:color w:val="auto"/>
        </w:rPr>
        <w:t>Our selling, general and administrative expenses for the three months ended June 30, 2025 were $418.6 million, or 9.7% of revenues, compared to selling, general and administrative expenses of $351.2 million, or 9.6% of revenues, for the three months ended June 30, 2024. Selling, general and administrative expenses for the six months ended June 30, 2025 were $822.5 million, or 10.1% of revenues, compared to selling, general and administrative expenses of $680.5 million, or 9.6% of revenues, for the six months ended June 30, 2024. Selling, general and administrative expenses for the three and six months ended June 30, 2025 included $34.4 million and $62.0 million, respectively, of incremental expenses directly related to companies acquired, including amortization expense attributable to identifiable intangible assets of $5.5 million and $10.6 million, respectively. Included in selling, general and administrative expenses for the six months ended June 30, 2025 were $9.4 million of transaction related costs incurred during the first quarter in connection with the acquisition of Miller Electric.</w:t>
      </w:r>
    </w:p>
    <w:p>
      <w:pPr>
        <w:spacing w:after="0" w:line="125" w:lineRule="exact"/>
        <w:rPr>
          <w:sz w:val="20"/>
          <w:szCs w:val="20"/>
          <w:color w:val="auto"/>
        </w:rPr>
      </w:pPr>
    </w:p>
    <w:p>
      <w:pPr>
        <w:jc w:val="both"/>
        <w:ind w:right="100" w:firstLine="395"/>
        <w:spacing w:after="0" w:line="250" w:lineRule="auto"/>
        <w:rPr>
          <w:sz w:val="20"/>
          <w:szCs w:val="20"/>
          <w:color w:val="auto"/>
        </w:rPr>
      </w:pPr>
      <w:r>
        <w:rPr>
          <w:rFonts w:ascii="Times New Roman" w:cs="Times New Roman" w:eastAsia="Times New Roman" w:hAnsi="Times New Roman"/>
          <w:sz w:val="18"/>
          <w:szCs w:val="18"/>
          <w:color w:val="auto"/>
        </w:rPr>
        <w:t>Excluding incremental expenses resulting from acquisitions, our selling, general and administrative expenses for the three and six months ended June 30, 2025 increased by $32.9 million and $80.0 million, respectively, primarily as a result of greater: (a) incentive compensation expense, predominantly within our United States construction segments, given higher projected annual operating results, (b) salaries and related employment expenses, due to additional headcount to support our organic revenue growth as well as annual cost of living adjustments, and (c) computer hardware and software costs due to various information technology and cybersecurity initiatives currently in process.</w:t>
      </w:r>
    </w:p>
    <w:p>
      <w:pPr>
        <w:spacing w:after="0" w:line="93"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The 50 basis point increase in our SG&amp;A margin for the six months ended June 30, 2025 was primarily due to: (a) improved gross profit and gross profit margin, which resulted in the above referenced increase in incentive compensation expense across certain of our operating subsidiaries, (b) a decrease in revenues, without a commensurate decrease in selling, general and administrative expenses, within our United States building services and United States industrial services segments, and (c) the impact of the $9.4 million of transaction related costs referenced above.</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6"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p>
      <w:pPr>
        <w:spacing w:after="0" w:line="7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present our operating income (loss) and operating income (loss) as a percentage of segment revenues (“operating margin”) (in thousands, except for percentages):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 June 30,</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3"/>
        </w:trPr>
        <w:tc>
          <w:tcPr>
            <w:tcW w:w="6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0" w:type="dxa"/>
            <w:vAlign w:val="bottom"/>
          </w:tcPr>
          <w:p>
            <w:pPr>
              <w:spacing w:after="0"/>
              <w:rPr>
                <w:sz w:val="1"/>
                <w:szCs w:val="1"/>
                <w:color w:val="auto"/>
              </w:rPr>
            </w:pPr>
          </w:p>
        </w:tc>
      </w:tr>
      <w:tr>
        <w:trPr>
          <w:trHeight w:val="191"/>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24"/>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4"/>
        </w:trPr>
        <w:tc>
          <w:tcPr>
            <w:tcW w:w="62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446,007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361,602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4"/>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332,808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412,027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339,135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5"/>
        </w:trPr>
        <w:tc>
          <w:tcPr>
            <w:tcW w:w="6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0" w:type="dxa"/>
            <w:vAlign w:val="bottom"/>
          </w:tcPr>
          <w:p>
            <w:pPr>
              <w:spacing w:after="0"/>
              <w:rPr>
                <w:sz w:val="1"/>
                <w:szCs w:val="1"/>
                <w:color w:val="auto"/>
              </w:rPr>
            </w:pPr>
          </w:p>
        </w:tc>
      </w:tr>
      <w:tr>
        <w:trPr>
          <w:trHeight w:val="189"/>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293,701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24"/>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364,160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4"/>
        </w:trPr>
        <w:tc>
          <w:tcPr>
            <w:tcW w:w="62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30,712</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811,994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655,336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4"/>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(91,438)</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733,968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592,761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736,224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606,851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Operating income for the three months ended June 30, 2025 was $415.2 million, an increase of $82.4 million compared to operating income of $332.8 million for the three months ended June 30, 2024. Operating margin for the three months ended June 30, 2025 was 9.6% compared to an operating margin of 9.1% for the three months ended June 30, 2024. For the six months ended June 30, 2025, operating income was $734.0 million, an increase of $141.2 million compared to operating income of $592.8 million for the six months ended June 30, 2024. Operating margin for the six months ended June 30, 2025 was 9.0% compared to an operating margin of 8.3% for the six months ended June 30, 2024.</w:t>
      </w:r>
    </w:p>
    <w:p>
      <w:pPr>
        <w:spacing w:after="0" w:line="9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described in more detail below, these increases in profitability were predominantly a result of improved operating performance within our United States construction segments, due to a more favorable mix of work and better project execution, including enhanced productivity, due in part to investments in virtual design and construction, prefabrication, and automation. Operating income for the three and six months ended June 30, 2025 included incremental acquisition contribution of $9.2 million and $23.5 million, respectively, net of amortization expense attributable to identifiable intangible assets of $12.5 million and $23.0 million,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Operating income of our United States electrical construction and facilities services segment was $157.6 million, or 11.8% of revenues, for the three months ended June 30, 2025, compared to $88.6 million, or 11.1% of revenues, for the three months ended June 30, 2024. Operating income of this segment for the six months ended June 30, 2025 was $293.7 million, or 12.1% of revenues, compared to $180.2 million, or 11.5% of revenues, for the six months ended June 30, 2024. Operating income and operating margin of this segment for both 2025 periods benefited from greater gross profit and gross profit margin due to an increase in revenues, excellent project execution, and a more favorable mix of work. While the most significant increase in gross profit was generated within the network and communications market sector, this segment additionally experienced increases within the majority of the other market sectors in which we operate, generally in line with the revenue trends described above. Largely driven by Miller Electric, this segment’s operating income for the three and six months ended June 30, 2025 included incremental acquisition contribution of $9.8 million and $21.8 million, respectively, net of amortization expense attributable to identifiable intangible assets of $11.4 million and $19.4 million, respectively.</w:t>
      </w:r>
    </w:p>
    <w:p>
      <w:pPr>
        <w:spacing w:after="0" w:line="109"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Our United States mechanical construction and facilities services segment’s operating income for the three months ended June 30, 2025 was $238.7 million, or 13.6% of revenues, compared to operating income of $213.4 million, or 12.9% of revenues, for the three months ended June 30, 2024. Operating income of this segment for the six months ended June 30, 2025 was $425.5 million, or 12.8% of revenues, compared to $364.2 million, or 11.8% of revenues, for the six months ended June 30, 2024. Similar to our United States electrical construction and facilities services segment, this improved performance for both 2025 periods was a result of greater gross profit and gross profit margin due to an increase in revenues, excellent project execution, and a more favorable mix of work. From a market sector perspective, this segment also experienced greater profitability across a number of the sectors in which we operate, with the most significant increase in gross profit coming from network and communications. This segment’s operating income for the six months ended June 30, 2025 included incremental acquisition contribution of $2.3 million, net of amortization expense attributable to identifiable intangible assets of $2.1 million. Partially offsetting this increased profitability was a decrease in gross profit from the commercial market sector, primarily as a result of the reduced revenues previously referenced.</w:t>
      </w:r>
    </w:p>
    <w:p>
      <w:pPr>
        <w:spacing w:after="0" w:line="10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Operating income of our United States building services segment was $50.0 million, or 6.3% of revenues, for the three months ended June 30, 2025 compared to $46.8 million, or 6.0% of revenues, for the three months ended June 30, 2024. Operating income of this segment for the six months ended June 30, 2025 was $86.5 million, or 5.6% of revenues, compared to $80.3 million, or 5.1% of revenues, for the six months ended June 30, 2024. For both 2025 periods, this segment’s mechanical services division continued to produce strong margins across its portfolio of HVAC retrofits, building automation and controls projects, and repair service work orders. Headwinds faced in this segment’s commercial site-based services and government site-based services divisions, given the loss of the previously referenced facilities maintenance contracts, partially offset such profitability during the first six months of 2025. The results of this segment for the six months ended June 30, 2024 included an $11.0 million reserve for a specific customer bankruptcy within its commercial site-based services division, which negatively impacted the segment’s operating margin by 70 basis points in such prior year period.</w:t>
      </w:r>
    </w:p>
    <w:p>
      <w:pPr>
        <w:spacing w:after="0" w:line="9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United States industrial services segment reported an operating loss of $0.4 million, or (0.1)% of revenues, for the three months ended June 30, 2025, compared to operating income of $12.7 million, or 3.9% of revenues, for the three months ended June 30, 2024. For the six months ended June 30, 2025, this segment reported operating income of $6.3 million, or 1.0% of revenues, compared to operating income of $30.7 million, or 4.5% of revenues, for the six months ended June 30, 2024. The decreases in profitability of this segment for both 2025 periods were primarily a result of: (a) the reductions in segment revenues discussed above, which also resulted in a greater amount of unabsorbed labor costs, and (b) a less favorable revenue mix when compared to the prior year period, which benefited from turnaround projects of a greater size as well as a large renewable fuel project. In addition, the results of this segment for the six months ended June 30, 2025 were negatively impacted by a $5.0 million increase in the allowance for credit losses, which reduced its operating margin by 80 basis points.</w:t>
      </w:r>
    </w:p>
    <w:p>
      <w:pPr>
        <w:spacing w:after="0" w:line="11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Operating income of our United Kingdom building services segment was $8.4 million, or 6.3% of revenues, for the three months ended June 30, 2025, compared to $5.8 million, or 5.4% of revenues, for the three months ended June 30, 2024. Operating income for the six months ended June 30, 2025 was $13.4 million, or 5.6% of revenues, compared to $11.2 million, or 5.3% of revenues, for the six months ended June 30, 2024. For both 2025 periods, the increase in this segment’s operating income and operating margin was primarily due to the revenue growth it experienced, which resulted in: (a) greater gross profit and (b) a reduction in SG&amp;A margin as our segment management team leveraged its overhead cost structure. Operating income of this segment for the three and six months ended June 30, 2025 were positively impacted by $0.5 million as a result of favorable exchange rate movements for the British pound versus the United States dollar.</w:t>
      </w:r>
    </w:p>
    <w:p>
      <w:pPr>
        <w:spacing w:after="0" w:line="9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corporate administration expenses for the three months ended June 30, 2025 were $39.2 million, compared to $34.6 million for the three months ended June 30, 2024. For the six months ended June 30, 2025, our corporate administrative expenses were $91.4 million, compared to $73.7 million for the six months ended June 30, 2024. Corporate expenses for the first six months of 2025 included $9.4 million of transaction related costs incurred in connection with the acquisition of Miller Electric. Excluding these items, the increase in corporate expenses for both 2025 periods was primarily a result of greater computer hardware and software costs, due to various information technology and cybersecurity initiatives currently in process.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items</w:t>
      </w:r>
    </w:p>
    <w:p>
      <w:pPr>
        <w:spacing w:after="0" w:line="137"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For the three months ended June 30, 2025, net interest expense was $3.2 million, compared to net interest income of $6.1 million for the three months ended June 30, 2024. For the six months ended June 30, 2025, net interest income was $2.1 million, compared to net interest income of $13.6 million for the six months ended June 30, 2024. These year-over-year fluctuations were a result of an increase in interest expense, given the outstanding borrowings under our revolving credit facility during the first half of 2025, coupled with a reduction in interest income due to a lower average daily invested cash balance.</w:t>
      </w:r>
    </w:p>
    <w:p>
      <w:pPr>
        <w:spacing w:after="0" w:line="6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For the three and six months ended June 30, 2025, our income tax provision was $109.9 million and $193.4 million, respectively, compared to an income tax provision of $91.6 million and $162.1 million for the three and six months ended June 30, 2024, respectively. Our effective income tax rate for the three and six months ended June 30, 2025 was 26.7% and 26.3%, respectively, compared to an effective income tax rate for the three and six months ended June 30, 2024 of 27.0% and 26.7%, respectively. Refer to Note 9 - Income Taxes of the notes to consolidated financial statements for further discussion regarding our income tax provision and effective income tax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Unsatisfied Performance Obligations</w:t>
      </w:r>
    </w:p>
    <w:p>
      <w:pPr>
        <w:spacing w:after="0" w:line="98"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transaction price allocated to remaining unsatisfied performance obligations (“remaining performance obligations”) for each of our reportable segments and their respective percentage of total remaining performance obligations (in thousands, except for percentages):</w:t>
      </w:r>
    </w:p>
    <w:tbl>
      <w:tblPr>
        <w:tblLayout w:type="fixed"/>
        <w:tblInd w:w="40" w:type="dxa"/>
        <w:tblCellMar>
          <w:top w:w="0" w:type="dxa"/>
          <w:left w:w="0" w:type="dxa"/>
          <w:bottom w:w="0" w:type="dxa"/>
          <w:right w:w="0" w:type="dxa"/>
        </w:tblCellMar>
      </w:tblPr>
      <w:tr>
        <w:trPr>
          <w:trHeight w:val="145"/>
        </w:trPr>
        <w:tc>
          <w:tcPr>
            <w:tcW w:w="4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336"/>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Pr>
          <w:p>
            <w:pPr>
              <w:spacing w:after="0"/>
              <w:rPr>
                <w:sz w:val="12"/>
                <w:szCs w:val="12"/>
                <w:color w:val="auto"/>
              </w:rPr>
            </w:pPr>
          </w:p>
        </w:tc>
        <w:tc>
          <w:tcPr>
            <w:tcW w:w="960" w:type="dxa"/>
            <w:vAlign w:val="bottom"/>
          </w:tcPr>
          <w:p>
            <w:pPr>
              <w:jc w:val="right"/>
              <w:ind w:right="256"/>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United States electrical construction and facilities services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4,198,244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3,068,396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2,632,120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71"/>
        </w:trPr>
        <w:tc>
          <w:tcPr>
            <w:tcW w:w="454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United States mechanical construction and facilities</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5,975,201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5,463,096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4,758,744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1,313,603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1,246,642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1,345,089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4"/>
        </w:trPr>
        <w:tc>
          <w:tcPr>
            <w:tcW w:w="4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221,102</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138,599</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99,022</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11,708,150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9,916,733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8,834,975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4"/>
        </w:trPr>
        <w:tc>
          <w:tcPr>
            <w:tcW w:w="4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206,238</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185,466</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164,248</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2"/>
        </w:trPr>
        <w:tc>
          <w:tcPr>
            <w:tcW w:w="4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operations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11,914,388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10,102,199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8,999,223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Our remaining performance obligations at June 30, 2025 were approximately $11.91 billion compared to approximately $10.10 billion at December 31, 2024 and approximately $9.00 billion at June 30, 2024. When compared to December 31, 2024, remaining performance obligations increased by approximately $1.81 billion. Acquisitions, notably Miller Electric, account for approximately $0.96 billion of such increase, with the remaining growth resulting from new contract awards across all of our reportable segments. From a market sector perspective, we experienced growth within the majority of the sectors we serve, with the most significant increases within: (a) network and communications, largely as a result of several data center construction contracts, (b) institutional, (c) manufacturing and industrial, due to certain: (i) food processing construction projects and (ii) renewable energy projects, (d) commercial, including various warehousing and distribution projects, and (e) hospitality and entertainment.</w:t>
      </w:r>
    </w:p>
    <w:p>
      <w:pPr>
        <w:spacing w:after="0" w:line="12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Note 3 - Revenue from Contracts with Customers of the notes to consolidated financial statements for further disclosure regarding our remaining performance obligations.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section discusses our principal liquidity and capital resources, as well as our primary liquidity requirements and sources and uses of cash.</w:t>
      </w:r>
    </w:p>
    <w:p>
      <w:pPr>
        <w:spacing w:after="0" w:line="14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investment in our growth strategies through business acquisitions and capital expenditures, satisfaction of contractual commitments, including principal and interest payments on any outstanding indebtedness, and shareholder return through share repurchases and dividend payments. We strive to maintain a balanced approach to capital allocation in order to achieve growth, deliver value, and minimize risk.</w:t>
      </w:r>
    </w:p>
    <w:p>
      <w:pPr>
        <w:spacing w:after="0" w:line="104"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Management monitors financial markets and overall economic conditions for factors that may affect our liquidity and capital resources and adjusts our capital allocation strategy as necessary. Negative macroeconomic trends could have an adverse effect on future liquidity if we experience delays in the payment of outstanding receivables beyond normal payment terms, an increase in credit losses, or significant increases in the price of commodities or the materials and equipment utilized for our project and service work, beyond those experienced in recent years. In addition, during economic downturns, there have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typically been fewer small discretionary projects from the private sector and our competitors have aggressively bid larger long-term infrastructure and public sector contracts. Our liquidity is also impacted by: (a) the type and length of construction contracts in place, as performance of long duration contracts typically requires greater amounts of working capital, (b) the level of turnaround activities within our United States industrial services segment, as such projects are billed in arrears pursuant to contractual terms that are standard within the industry, and (c) the billing terms of our maintenance contracts, including those within our United States and United Kingdom building services segments. While we strive to negotiate favorable billing terms, which allow us to invoice in advance of costs incurred on certain of our contracts, there can be no assurance that such terms will be agreed to by our customers.</w:t>
      </w:r>
    </w:p>
    <w:p>
      <w:pPr>
        <w:spacing w:after="0" w:line="8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As of June 30, 2025, we had cash and cash equivalents, excluding restricted cash, of $486.0 million, which are maintained in depository accounts and highly liquid investments with original maturity dates of three months or less. Both our short-term and long-term liquidity requirements are expected to be met through our cash and cash equivalent balances, cash generated from our operations, and, as necessary, the borrowing capacity under our revolving credit facility. Our credit agreement provides for a $1.30 billion revolving credit facility, for which there was $978.5 million of available capacity as of June 30, 2025.</w:t>
      </w:r>
    </w:p>
    <w:p>
      <w:pPr>
        <w:spacing w:after="0" w:line="4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Refer to Note 7 - Debt of the notes to consolidated financial statements for further information regarding our credit agreement. Based upon our current credit rating and financial position, we can also reasonably expect to be able to secure long-term debt financing if required to achieve our strategic objectives; however, no assurances can be made that such debt financing will be available on favorable terms. We believe that we have sufficient financial resources available to meet our short-term and foreseeable long-term liquidity requirements.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 summary of our operating, investing, and financing cash flows (in thousands):</w:t>
      </w:r>
    </w:p>
    <w:p>
      <w:pPr>
        <w:spacing w:after="0" w:line="37"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spacing w:after="0" w:line="2"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411,958</w:t>
            </w:r>
          </w:p>
        </w:tc>
      </w:tr>
      <w:tr>
        <w:trPr>
          <w:trHeight w:val="224"/>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(938,825)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(211,139)</w:t>
            </w:r>
          </w:p>
        </w:tc>
      </w:tr>
      <w:tr>
        <w:trPr>
          <w:trHeight w:val="224"/>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(181,444)</w:t>
            </w:r>
          </w:p>
        </w:tc>
      </w:tr>
      <w:tr>
        <w:trPr>
          <w:trHeight w:val="224"/>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24"/>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w:t>
            </w: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our cash balance, including cash equivalents and restricted cash, decreased by approximately $853.2 million from $1,340.4 million at December 31, 2024 to $487.2 million at June 30, 2025. Changes in our cash position from December 31, 2024 to June 30, 2025 are described in further detail below.</w:t>
      </w:r>
    </w:p>
    <w:p>
      <w:pPr>
        <w:spacing w:after="0" w:line="7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 Operating cash flows generally represent our net income as adjusted for certain non-cash items and changes in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for the six months ended June 30, 2025 was approximately $302.2 million compared to approximately $412.0 million for the six months ended June 30, 2024. The decrease in our operating cash flow period-over-period was a result of an increase in working capital, primarily on our construction projects, given the progression on a number of contracts for which we were previously billed ahead. As we worked through these upfront payments, we saw the expected decrease in operating cash as our cash outflows exceeded our inflows on these projects. Such decrease was partially offset by an increase in our net income for the six months ended June 30, 2025 compared to the six months ended June 30, 2024.</w:t>
      </w:r>
    </w:p>
    <w:p>
      <w:pPr>
        <w:spacing w:after="0" w:line="93"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 Investing cash flows consist primarily of payments for acquisition of businesses, capital expenditures, and proceeds from the sale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 of property, plant, and equipment. Net cash used in investing activities for the six months ended June 30, 2025 increased by approximately $727.7 million compared to the six months ended June 30, 2024, predominantly due to the acquisition of Miller Electric.</w:t>
      </w:r>
    </w:p>
    <w:p>
      <w:pPr>
        <w:spacing w:after="0" w:line="9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 Financing cash flows consist primarily of the issuance and repayment of short-term and long-term debt, repurchases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payments of dividends to stockholders, and the issuance of common stock through certain equity plans. Net cash used in financing activities was $231.1 million for the six months ended June 30, 2025 compared to $181.4 million for the six months ended June 30, 2024. The $49.7 million variance was primarily due to a $283.2 million increase in common stock repurchases made by us, partially offset by $250.0 million in net borrowings made under our revolving credit facility during the first half of 2025. The timing of common stock repurchases is at management’s discretion subject to securities laws and other legal requirements and depends upon several factors, including market and business conditions, current and anticipated future liquidity, share price, and share availability, among others. For additional detail regarding our share repurchase program, refer to Note 10 - Common Stock of the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We currently pay a regular quarterly dividend of $0.25 per share. For the six months ended June 30, 2025 and 2024, cash payments related to dividends were $22.6 million and $20.2 million, respectively. Our credit agreement places limitations on the payment of dividends on our common stock. However, we do not believe that the terms of such agreement currently materially limit our ability to pay such quarterly dividends for the foreseeable future.</w:t>
      </w:r>
    </w:p>
    <w:p>
      <w:pPr>
        <w:spacing w:after="0" w:line="38"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Effect of Exchange Rate Changes on Cash, Cash Equivalents, and Restricted Cash </w:t>
      </w:r>
      <w:r>
        <w:rPr>
          <w:rFonts w:ascii="Times New Roman" w:cs="Times New Roman" w:eastAsia="Times New Roman" w:hAnsi="Times New Roman"/>
          <w:sz w:val="18"/>
          <w:szCs w:val="18"/>
          <w:color w:val="auto"/>
        </w:rPr>
        <w:t>– We are exposed to fluctuations in foreign currency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almost entirely with respect to the British pound. Therefore, the $15.5 million variance between the six months ended June 30, 2025 and 2024 was a direct result of exchange rate movements for the British pound versus the United States dollar.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 from Contractual and Other Obligations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June 30, 2025, our short-term and long-term material cash requirements for known contractual and other obligations were as follows:</w:t>
      </w:r>
    </w:p>
    <w:p>
      <w:pPr>
        <w:spacing w:after="0" w:line="107"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Outstanding Debt and Interest Payments </w:t>
      </w:r>
      <w:r>
        <w:rPr>
          <w:rFonts w:ascii="Times New Roman" w:cs="Times New Roman" w:eastAsia="Times New Roman" w:hAnsi="Times New Roman"/>
          <w:sz w:val="18"/>
          <w:szCs w:val="18"/>
          <w:color w:val="auto"/>
        </w:rPr>
        <w:t>– As of June 30, 2025, we had $250.0 million in direct borrowings outstanding under our revolving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Future interest payments will be determined based on prevailing interest rates at that time. Refer to Note 7 - Debt of the notes to consolidated financial statements for further detail of our debt obligations, including our revolving credit facility.</w:t>
      </w:r>
    </w:p>
    <w:p>
      <w:pPr>
        <w:spacing w:after="0" w:line="85"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and Finance Leases </w:t>
      </w:r>
      <w:r>
        <w:rPr>
          <w:rFonts w:ascii="Times New Roman" w:cs="Times New Roman" w:eastAsia="Times New Roman" w:hAnsi="Times New Roman"/>
          <w:sz w:val="18"/>
          <w:szCs w:val="18"/>
          <w:color w:val="auto"/>
        </w:rPr>
        <w:t>– In the normal course of business, we lease real estate, vehicles, and equipment under various arrangements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either operating or finance leases. Future payments for such leases, excluding leases with initial terms of one year or less, were $499.3 million at June 30, 2025, with $112.1 million payable within the next 12 months.</w:t>
      </w:r>
    </w:p>
    <w:p>
      <w:pPr>
        <w:spacing w:after="0" w:line="85"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Open Purchase Obligations </w:t>
      </w:r>
      <w:r>
        <w:rPr>
          <w:rFonts w:ascii="Times New Roman" w:cs="Times New Roman" w:eastAsia="Times New Roman" w:hAnsi="Times New Roman"/>
          <w:sz w:val="18"/>
          <w:szCs w:val="18"/>
          <w:color w:val="auto"/>
        </w:rPr>
        <w:t>– As of June 30, 2025, we had $2.82 billion of open purchase obligations, of which payments totaling approximately $2.39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are expected to become due within the next 12 months. These obligations represent open purchase orders to suppliers and subcontractors related to our construction and services contracts. These purchase orders are not reflected in the Consolidated Balance Sheets and are not expected to impact future liquidity as amounts should be recovered through customer billings.</w:t>
      </w:r>
    </w:p>
    <w:p>
      <w:pPr>
        <w:spacing w:after="0" w:line="75"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Insurance Obligations </w:t>
      </w:r>
      <w:r>
        <w:rPr>
          <w:rFonts w:ascii="Times New Roman" w:cs="Times New Roman" w:eastAsia="Times New Roman" w:hAnsi="Times New Roman"/>
          <w:sz w:val="16"/>
          <w:szCs w:val="16"/>
          <w:color w:val="auto"/>
        </w:rPr>
        <w:t>– As described in further detail in Note 12 - Commitments and Contingencies of the notes to consolidated financial statements,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have loss payment deductibles and/or self-insured retentions for certain insurance matters. As of June 30, 2025, our insurance liabilities, net of estimated recoveries, were $262.1 million. Of this net amount, approximately $56.6 million is estimated to be payable within the next 12 months. Due to many uncertainties inherent in resolving these matters, it is not practical to estimate these payments beyond such period. To the extent that the amount required to settle claims covered by insurance continues to increase, the cost of our insurance coverage, including premiums and deductibles, is likely to increase.</w:t>
      </w:r>
    </w:p>
    <w:p>
      <w:pPr>
        <w:spacing w:after="0" w:line="6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Liabilities </w:t>
      </w:r>
      <w:r>
        <w:rPr>
          <w:rFonts w:ascii="Times New Roman" w:cs="Times New Roman" w:eastAsia="Times New Roman" w:hAnsi="Times New Roman"/>
          <w:sz w:val="18"/>
          <w:szCs w:val="18"/>
          <w:color w:val="auto"/>
        </w:rPr>
        <w:t>– We have incurred liabilities related to contingent consideration arrangements associated with certain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in the event discrete performance objectives are achieved by the acquired businesses during designated post-acquisition periods. The aggregate amount of these liabilities can change due to additional business acquisitions, settlement of outstanding liabilities, changes in the fair value of amounts owed based on performance during such post-acquisition periods, and accretion in present value. As of June 30, 2025, the present value of expected future payments relating to these contingent consideration arrangements was $15.0 million. Of this amount, $13.5 million is estimated as being payable within the next 12 months, with the remainder due pursuant to the terms of our contractual agreements, some of which extend into 2027.</w:t>
      </w:r>
    </w:p>
    <w:p>
      <w:pPr>
        <w:spacing w:after="0" w:line="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addition, material cash requirements for other potential obligations, for which we cannot reasonably estimate future payments, include the following:</w:t>
      </w:r>
    </w:p>
    <w:p>
      <w:pPr>
        <w:spacing w:after="0" w:line="130"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 We are involved in several legal proceedings in which damages and claims have been asserted against us. While litigation is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many uncertainties and the outcome of litigation is not predictable with assurance, we do not believe that any such matters will have a material adverse effect on our financial position, results of operations, or liquidity. Refer to Note 12 - Commitments and Contingencies of the notes to consolidated financial statements for more information regarding legal proceedings.</w:t>
      </w:r>
    </w:p>
    <w:p>
      <w:pPr>
        <w:spacing w:after="0" w:line="8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Multiemployer Benefit Plans </w:t>
      </w:r>
      <w:r>
        <w:rPr>
          <w:rFonts w:ascii="Times New Roman" w:cs="Times New Roman" w:eastAsia="Times New Roman" w:hAnsi="Times New Roman"/>
          <w:sz w:val="18"/>
          <w:szCs w:val="18"/>
          <w:color w:val="auto"/>
        </w:rPr>
        <w:t>– In addition to our Company sponsored benefit plans, we participate in certain multiemployer pension and other post-retirement plans. The cost of these plans is equal to the annual required contributions determined in accordance with the provisions of negotiated collective bargaining agreements. Our future contributions to the multiemployer plans are dependent upon a number of factors. Amounts of future contributions that we would be contractually obligated to make pursuant to these plans cannot be reasonably estimated. Refer to Note 14 - Retirement Plans of the notes to consolidated financial statements included in Item 8. Financial Statements and Supplementary Data of our Form 10-K for the year ended December 31, 2024 for more information regarding multiemployer benefit plans.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 and Other Commercial Commitments</w:t>
      </w:r>
    </w:p>
    <w:p>
      <w:pPr>
        <w:spacing w:after="0" w:line="9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As of June 30, 2025, based on the percentage-of-completion of our projects covered by surety bonds, our aggregate estimated exposure, assuming defaults on all our then existing contractual obligations, was approximately $2.7 billion, which represents approximately 23% of our total remaining performance obligations.</w:t>
      </w:r>
    </w:p>
    <w:p>
      <w:pPr>
        <w:spacing w:after="0" w:line="9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Surety bonds expire at various times ranging from final completion of a project to a period extending beyond contract completion in certain circumstances. Such amounts can also fluctuate from period to period based upon the mix and level of our bonded operating activity. For example, public sector contracts require surety bonds more frequently than private sector contracts and, accordingly, our bonding requirements typically increase as the amount of our public sector work increases. Our estimated maximum exposure as it relates to the value of the surety bonds outstanding is lowered on each bonded project as the cost to complete is reduced, and each commitment under a surety bond generally extinguishes concurrently with the expiration of its related contractual obligation.</w:t>
      </w:r>
    </w:p>
    <w:p>
      <w:pPr>
        <w:spacing w:after="0" w:line="106"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Surety bonds are sometimes provided to secure obligations for wages and benefits payable to or for certain of our employees, at the request of labor unions representing such employees. In addition, surety bonds or letters of credit may be issued as collateral for certain insurance obligations. As of June 30, 2025, we satisfied approximately $61.7 million and $71.2 million of the collateral requirements of our insurance programs by utilizing surety bonds and letters of credit, respectively. All such letters of credit were issued under our revolving credit facility, therefore reducing the available capacity of such facility.</w:t>
      </w:r>
    </w:p>
    <w:p>
      <w:pPr>
        <w:spacing w:after="0" w:line="6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not aware of any losses in connection with surety bonds that have been posted on our behalf, and we do not expect to incur significant losses in the foreseeable future.</w:t>
      </w:r>
    </w:p>
    <w:p>
      <w:pPr>
        <w:spacing w:after="0" w:line="7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From time to time, we discuss with our current and other surety bond providers the amounts of surety bonds that may be available to us based on our financial strength and the absence of any default by us on any surety bond issued on our behalf and believe those amounts are currently adequate for our needs. However, if we experience changes in our bonding relationships or if there are adverse changes in the surety industry, we may: (a) seek to satisfy certain customer requests for surety bonds by posting other forms of collateral in lieu of surety bonds, such as letters of credit, parent company guarantees, or cash, in order to convince customers to forego the requirement for surety bonds, (b) increase our activities in our businesses that rarely require surety bonds, and/or (c) refrain from bidding for certain projects that require surety bonds.</w:t>
      </w:r>
    </w:p>
    <w:p>
      <w:pPr>
        <w:spacing w:after="0" w:line="1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would be able to effectuate alternatives to providing surety bonds to our customers or to obtain, on favorable terms, sufficient additional work that does not require surety bonds. Accordingly, a reduction in the availability of surety bonds could have a material adverse effect on our financial position, results of operations, and/or cash flows.</w:t>
      </w:r>
    </w:p>
    <w:p>
      <w:pPr>
        <w:spacing w:after="0" w:line="8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at times, guarantee obligations of our subsidiaries under certain contracts. Generally, we are liable under such an arrangement only if our subsidiary fails to perform its obligations under the contract. Historically, we have not incurred any substantial liabilities as a consequence of these guarantees.</w:t>
      </w:r>
    </w:p>
    <w:p>
      <w:pPr>
        <w:spacing w:after="0" w:line="88" w:lineRule="exact"/>
        <w:rPr>
          <w:sz w:val="20"/>
          <w:szCs w:val="20"/>
          <w:color w:val="auto"/>
        </w:rPr>
      </w:pPr>
    </w:p>
    <w:p>
      <w:pPr>
        <w:ind w:right="2160" w:firstLine="395"/>
        <w:spacing w:after="0" w:line="396" w:lineRule="auto"/>
        <w:rPr>
          <w:sz w:val="20"/>
          <w:szCs w:val="20"/>
          <w:color w:val="auto"/>
        </w:rPr>
      </w:pPr>
      <w:r>
        <w:rPr>
          <w:rFonts w:ascii="Times New Roman" w:cs="Times New Roman" w:eastAsia="Times New Roman" w:hAnsi="Times New Roman"/>
          <w:sz w:val="18"/>
          <w:szCs w:val="18"/>
          <w:color w:val="auto"/>
        </w:rPr>
        <w:t xml:space="preserve">We do not have any other material financial guarantees or off-balance sheet arrangements other than those disclosed herein. </w:t>
      </w:r>
      <w:r>
        <w:rPr>
          <w:rFonts w:ascii="Times New Roman" w:cs="Times New Roman" w:eastAsia="Times New Roman" w:hAnsi="Times New Roman"/>
          <w:sz w:val="18"/>
          <w:szCs w:val="18"/>
          <w:b w:val="1"/>
          <w:bCs w:val="1"/>
          <w:color w:val="auto"/>
        </w:rPr>
        <w:t>New Accounting Pronouncements</w:t>
      </w:r>
    </w:p>
    <w:p>
      <w:pPr>
        <w:spacing w:after="0" w:line="1"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We review new accounting standards to determine the expected impact, if any, that the adoption of such standards will have on our financial position and/or results of operations. See Note 2 - New Accounting Pronouncements of the notes to consolidated financial statements for further information regarding new accounting standards, including the anticipated dates of adoption and the effects on our consolidated financial position, results of operations, or liquidity.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8"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The preparation of our consolidated financial statements is based on the application of significant accounting policies, which require management to make estimates and assumptions. Our significant accounting policies are described further in Note 2 - Summary of Significant Accounting Policies of the notes to consolidated financial statements included in Item 8. Financial Statements and Supplementary Data of our Form 10-K for the year ended December 31, 2024. We base our estimates on historical experience, known or expected trends, third-party valuations, and various other assumptions that we believe to be reasonable under the circumstances. As future events and their effects cannot be determined with precision, actual results could differ significantly from these estimates. There have been no significant changes to our critical accounting policies or methods during the six months ended June 30, 2025.</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have not used any derivative financial instruments during the six months ended June 30, 2025, including trading or speculating on changes in interest rates or commodity prices of materials used in our business.</w:t>
      </w:r>
    </w:p>
    <w:p>
      <w:pPr>
        <w:spacing w:after="0" w:line="11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for borrowings under our revolving credit facility, which bear interest at variable rates. Although the Federal Reserve Board began to decrease the federal funds rate in 2024 after increases in 2022 and much of 2023, the pace and extent of additional decreases are uncertain. For further information regarding our credit facility and associated borrowing rates, refer to Note 7 - Debt of the notes to consolidated financial statements. As of June 30, 2025, we had $250.0 million in direct borrowings outstanding under the 2023 Revolving Credit Facility. Based on such amount, if overall interest rates were to increase by 50 basis points, interest expense, net of income taxes, would increase by approximately $0.9 million in the next twelve months. Conversely, if overall interest rates were to decrease by 50 basis points, interest expense, net of income taxes, would decrease by approximately $0.9 million in the next twelve months.</w:t>
      </w:r>
    </w:p>
    <w:p>
      <w:pPr>
        <w:spacing w:after="0" w:line="13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are exposed to construction market risk and its potential related impact on accounts receivable or contract assets on uncompleted contracts. The amounts recorded may be at risk if our customers’ ability to pay these obligations is negatively impacted by economic conditions. We continually monitor the creditworthiness of our customers and maintain on-going discussions with customers regarding contract status with respect to change orders and billing terms. Therefore, we believe we take appropriate action to manage market and other risks, but there is no assurance that we will be able to reasonably identify all risks with respect to the collectability of these assets.</w:t>
      </w:r>
    </w:p>
    <w:p>
      <w:pPr>
        <w:spacing w:after="0" w:line="13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Amounts invested in our foreign operations are translated into U.S. dollars at the exchange rates in effect at the end of the period. The resulting translation adjustments are recorded as accumulated other comprehensive (loss) income, a component of equity, in the Consolidated Balance Sheets. We believe our exposure to the effects that fluctuating foreign currencies may have on our consolidated results of operations is limited because our foreign operations primarily invoice customers and collect obligations in their respective local currencies. Additionally, expenses associated with these transactions are generally contracted and paid for in their same local currencies.</w:t>
      </w:r>
    </w:p>
    <w:p>
      <w:pPr>
        <w:spacing w:after="0" w:line="13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addition, we are exposed to market risk of fluctuations in certain commodity prices of materials, such as copper and steel, which are used as components of supplies or materials utilized in our construction, building services, and industrial services operations. Trade and sanction policies (including tariffs) may also affect the pricing of such supplies and materials. We are also exposed to increases in energy prices, particularly as they relate to gasoline prices for our fleet of approximately 14,800 vehicles. While we believe we can increase our contract prices to adjust for some price increases in commodities, there can be no assurance that such price increases, if they were to occur, would be recoverable. Additionally, our fixed price contracts generally do not allow us to adjust our prices and, as a result, increases in material costs could reduce our profitability with respect to projects in progress.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Based on an evaluation of our disclosure controls and procedures (as required by Rule 13a-15(b) of the Securities Exchange Act of 1934), our Chairman, President, and Chief Executive Officer, Anthony J. Guzzi, and our Senior Vice President, Chief Financial Officer and Chief Accounting Officer, Jason R. Nalbandian, have concluded that our disclosure controls and procedures (as defined in Rule 13a-15(e) of the Securities Exchange Act of 1934) are effective as of the end of the period covered by this report.</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Securities Exchange Act of 1934) during the fiscal quarter ended June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4"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Note 12 - Commitments and Contingencies of the notes to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repurchases of our common stock made by us during the quarter ended June 30, 2025:</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10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Approximate Dollar Value</w:t>
            </w: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Total Number of</w:t>
            </w:r>
          </w:p>
        </w:tc>
        <w:tc>
          <w:tcPr>
            <w:tcW w:w="80" w:type="dxa"/>
            <w:vAlign w:val="bottom"/>
          </w:tcPr>
          <w:p>
            <w:pPr>
              <w:spacing w:after="0"/>
              <w:rPr>
                <w:sz w:val="13"/>
                <w:szCs w:val="13"/>
                <w:color w:val="auto"/>
              </w:rPr>
            </w:pP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2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100" w:type="dxa"/>
            <w:vAlign w:val="bottom"/>
          </w:tcPr>
          <w:p>
            <w:pPr>
              <w:spacing w:after="0"/>
              <w:rPr>
                <w:sz w:val="13"/>
                <w:szCs w:val="13"/>
                <w:color w:val="auto"/>
              </w:rPr>
            </w:pPr>
          </w:p>
        </w:tc>
        <w:tc>
          <w:tcPr>
            <w:tcW w:w="24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of Shares That May Yet Be</w:t>
            </w:r>
          </w:p>
        </w:tc>
        <w:tc>
          <w:tcPr>
            <w:tcW w:w="0" w:type="dxa"/>
            <w:vAlign w:val="bottom"/>
          </w:tcPr>
          <w:p>
            <w:pPr>
              <w:spacing w:after="0"/>
              <w:rPr>
                <w:sz w:val="1"/>
                <w:szCs w:val="1"/>
                <w:color w:val="auto"/>
              </w:rPr>
            </w:pPr>
          </w:p>
        </w:tc>
      </w:tr>
      <w:tr>
        <w:trPr>
          <w:trHeight w:val="158"/>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2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Publicly Announced</w:t>
            </w:r>
          </w:p>
        </w:tc>
        <w:tc>
          <w:tcPr>
            <w:tcW w:w="100" w:type="dxa"/>
            <w:vAlign w:val="bottom"/>
          </w:tcPr>
          <w:p>
            <w:pPr>
              <w:spacing w:after="0"/>
              <w:rPr>
                <w:sz w:val="13"/>
                <w:szCs w:val="13"/>
                <w:color w:val="auto"/>
              </w:rPr>
            </w:pPr>
          </w:p>
        </w:tc>
        <w:tc>
          <w:tcPr>
            <w:tcW w:w="24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Purchased Under</w:t>
            </w:r>
          </w:p>
        </w:tc>
        <w:tc>
          <w:tcPr>
            <w:tcW w:w="0" w:type="dxa"/>
            <w:vAlign w:val="bottom"/>
          </w:tcPr>
          <w:p>
            <w:pPr>
              <w:spacing w:after="0"/>
              <w:rPr>
                <w:sz w:val="1"/>
                <w:szCs w:val="1"/>
                <w:color w:val="auto"/>
              </w:rPr>
            </w:pPr>
          </w:p>
        </w:tc>
      </w:tr>
      <w:tr>
        <w:trPr>
          <w:trHeight w:val="211"/>
        </w:trPr>
        <w:tc>
          <w:tcPr>
            <w:tcW w:w="2460" w:type="dxa"/>
            <w:vAlign w:val="bottom"/>
            <w:gridSpan w:val="2"/>
            <w:vMerge w:val="continue"/>
          </w:tcPr>
          <w:p>
            <w:pPr>
              <w:spacing w:after="0"/>
              <w:rPr>
                <w:sz w:val="18"/>
                <w:szCs w:val="18"/>
                <w:color w:val="auto"/>
              </w:rPr>
            </w:pPr>
          </w:p>
        </w:tc>
        <w:tc>
          <w:tcPr>
            <w:tcW w:w="2040" w:type="dxa"/>
            <w:vAlign w:val="bottom"/>
          </w:tcPr>
          <w:p>
            <w:pPr>
              <w:jc w:val="center"/>
              <w:spacing w:after="0" w:line="210" w:lineRule="exact"/>
              <w:rPr>
                <w:sz w:val="20"/>
                <w:szCs w:val="20"/>
                <w:color w:val="auto"/>
              </w:rPr>
            </w:pPr>
            <w:r>
              <w:rPr>
                <w:rFonts w:ascii="Times New Roman" w:cs="Times New Roman" w:eastAsia="Times New Roman" w:hAnsi="Times New Roman"/>
                <w:sz w:val="16"/>
                <w:szCs w:val="16"/>
                <w:b w:val="1"/>
                <w:bCs w:val="1"/>
                <w:color w:val="auto"/>
                <w:w w:val="93"/>
              </w:rPr>
              <w:t xml:space="preserve">Shares Purchased </w:t>
            </w:r>
            <w:r>
              <w:rPr>
                <w:rFonts w:ascii="Times New Roman" w:cs="Times New Roman" w:eastAsia="Times New Roman" w:hAnsi="Times New Roman"/>
                <w:sz w:val="20"/>
                <w:szCs w:val="20"/>
                <w:b w:val="1"/>
                <w:bCs w:val="1"/>
                <w:color w:val="auto"/>
                <w:w w:val="93"/>
                <w:vertAlign w:val="superscript"/>
              </w:rPr>
              <w:t>(1) (2)</w:t>
            </w:r>
          </w:p>
        </w:tc>
        <w:tc>
          <w:tcPr>
            <w:tcW w:w="80" w:type="dxa"/>
            <w:vAlign w:val="bottom"/>
          </w:tcPr>
          <w:p>
            <w:pPr>
              <w:spacing w:after="0"/>
              <w:rPr>
                <w:sz w:val="18"/>
                <w:szCs w:val="18"/>
                <w:color w:val="auto"/>
              </w:rPr>
            </w:pPr>
          </w:p>
        </w:tc>
        <w:tc>
          <w:tcPr>
            <w:tcW w:w="1740" w:type="dxa"/>
            <w:vAlign w:val="bottom"/>
            <w:gridSpan w:val="2"/>
          </w:tcPr>
          <w:p>
            <w:pPr>
              <w:jc w:val="center"/>
              <w:ind w:right="100"/>
              <w:spacing w:after="0" w:line="210" w:lineRule="exact"/>
              <w:rPr>
                <w:sz w:val="20"/>
                <w:szCs w:val="20"/>
                <w:color w:val="auto"/>
              </w:rPr>
            </w:pPr>
            <w:r>
              <w:rPr>
                <w:rFonts w:ascii="Times New Roman" w:cs="Times New Roman" w:eastAsia="Times New Roman" w:hAnsi="Times New Roman"/>
                <w:sz w:val="16"/>
                <w:szCs w:val="16"/>
                <w:b w:val="1"/>
                <w:bCs w:val="1"/>
                <w:color w:val="auto"/>
                <w:w w:val="94"/>
              </w:rPr>
              <w:t xml:space="preserve">Paid Per Share </w:t>
            </w:r>
            <w:r>
              <w:rPr>
                <w:rFonts w:ascii="Times New Roman" w:cs="Times New Roman" w:eastAsia="Times New Roman" w:hAnsi="Times New Roman"/>
                <w:sz w:val="20"/>
                <w:szCs w:val="20"/>
                <w:b w:val="1"/>
                <w:bCs w:val="1"/>
                <w:color w:val="auto"/>
                <w:w w:val="94"/>
                <w:vertAlign w:val="superscript"/>
              </w:rPr>
              <w:t>(3)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the Plans or Programs</w:t>
            </w:r>
          </w:p>
        </w:tc>
        <w:tc>
          <w:tcPr>
            <w:tcW w:w="0" w:type="dxa"/>
            <w:vAlign w:val="bottom"/>
          </w:tcPr>
          <w:p>
            <w:pPr>
              <w:spacing w:after="0"/>
              <w:rPr>
                <w:sz w:val="1"/>
                <w:szCs w:val="1"/>
                <w:color w:val="auto"/>
              </w:rPr>
            </w:pPr>
          </w:p>
        </w:tc>
      </w:tr>
      <w:tr>
        <w:trPr>
          <w:trHeight w:val="164"/>
        </w:trPr>
        <w:tc>
          <w:tcPr>
            <w:tcW w:w="2340" w:type="dxa"/>
            <w:vAlign w:val="bottom"/>
            <w:tcBorders>
              <w:top w:val="single" w:sz="8" w:color="auto"/>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April 1, 2025 to</w:t>
            </w:r>
          </w:p>
        </w:tc>
        <w:tc>
          <w:tcPr>
            <w:tcW w:w="12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30,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573,001</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$353.65</w:t>
            </w:r>
          </w:p>
        </w:tc>
        <w:tc>
          <w:tcPr>
            <w:tcW w:w="100" w:type="dxa"/>
            <w:vAlign w:val="bottom"/>
            <w:shd w:val="clear" w:color="auto" w:fill="CCEEFF"/>
          </w:tcPr>
          <w:p>
            <w:pPr>
              <w:spacing w:after="0"/>
              <w:rPr>
                <w:sz w:val="20"/>
                <w:szCs w:val="20"/>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573,001</w:t>
            </w:r>
          </w:p>
        </w:tc>
        <w:tc>
          <w:tcPr>
            <w:tcW w:w="25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$336,162,101</w:t>
            </w:r>
          </w:p>
        </w:tc>
        <w:tc>
          <w:tcPr>
            <w:tcW w:w="0" w:type="dxa"/>
            <w:vAlign w:val="bottom"/>
          </w:tcPr>
          <w:p>
            <w:pPr>
              <w:spacing w:after="0"/>
              <w:rPr>
                <w:sz w:val="1"/>
                <w:szCs w:val="1"/>
                <w:color w:val="auto"/>
              </w:rPr>
            </w:pPr>
          </w:p>
        </w:tc>
      </w:tr>
      <w:tr>
        <w:trPr>
          <w:trHeight w:val="171"/>
        </w:trPr>
        <w:tc>
          <w:tcPr>
            <w:tcW w:w="246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May 1, 2025 to</w:t>
            </w: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$336,162,101</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June 1, 2025 to</w:t>
            </w:r>
          </w:p>
        </w:tc>
        <w:tc>
          <w:tcPr>
            <w:tcW w:w="2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$336,162,101</w:t>
            </w:r>
          </w:p>
        </w:tc>
        <w:tc>
          <w:tcPr>
            <w:tcW w:w="0" w:type="dxa"/>
            <w:vAlign w:val="bottom"/>
          </w:tcPr>
          <w:p>
            <w:pPr>
              <w:spacing w:after="0"/>
              <w:rPr>
                <w:sz w:val="1"/>
                <w:szCs w:val="1"/>
                <w:color w:val="auto"/>
              </w:rPr>
            </w:pPr>
          </w:p>
        </w:tc>
      </w:tr>
      <w:tr>
        <w:trPr>
          <w:trHeight w:val="21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573,001</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$353.65</w:t>
            </w:r>
          </w:p>
        </w:tc>
        <w:tc>
          <w:tcPr>
            <w:tcW w:w="100" w:type="dxa"/>
            <w:vAlign w:val="bottom"/>
          </w:tcPr>
          <w:p>
            <w:pPr>
              <w:spacing w:after="0"/>
              <w:rPr>
                <w:sz w:val="18"/>
                <w:szCs w:val="18"/>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573,001</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jc w:val="both"/>
        <w:ind w:left="400" w:hanging="395"/>
        <w:spacing w:after="0" w:line="250" w:lineRule="auto"/>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2011, our Board of Directors (the “Board”) authorized a share repurchase program allowing us to begin repurchasing shares of our outstanding common stock. Subsequently, the Board has from time to time increased the amount authorized for repurchases under such program. In February 2025, our Board increased such amount by $500 million. Since the inception of the repurchase program, through June 30, 2025, the Board has authorized us to repurchase up to $3.15 billion of our outstanding common stock. As of June 30, 2025, there remained authorization for us to repurchase approximately $336.2 million of our shares. No shares have been repurchased by us since the program was announced other than pursuant to such program. The repurchase program has no expiration date, does not obligate the Company to acquire any particular amount of common stock, and may be suspended, recommenced, or discontinued at any time or from time to time without prior notice. Refer to Note 10 - Common Stock of the notes to consolidated financial statements for further information regarding our share repurchase program.</w:t>
      </w:r>
    </w:p>
    <w:p>
      <w:pPr>
        <w:spacing w:after="0" w:line="66" w:lineRule="exact"/>
        <w:rPr>
          <w:rFonts w:ascii="Times New Roman" w:cs="Times New Roman" w:eastAsia="Times New Roman" w:hAnsi="Times New Roman"/>
          <w:sz w:val="16"/>
          <w:szCs w:val="16"/>
          <w:color w:val="auto"/>
        </w:rPr>
      </w:pPr>
    </w:p>
    <w:p>
      <w:pPr>
        <w:ind w:left="400" w:hanging="395"/>
        <w:spacing w:after="0" w:line="287" w:lineRule="auto"/>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428 shares surrendered to the Company by participants in our share-based compensation plans to satisfy minimum tax withholdings for common stock issued under such plans.</w:t>
      </w:r>
    </w:p>
    <w:p>
      <w:pPr>
        <w:spacing w:after="0" w:line="33" w:lineRule="exact"/>
        <w:rPr>
          <w:rFonts w:ascii="Times New Roman" w:cs="Times New Roman" w:eastAsia="Times New Roman" w:hAnsi="Times New Roman"/>
          <w:sz w:val="16"/>
          <w:szCs w:val="16"/>
          <w:color w:val="auto"/>
        </w:rPr>
      </w:pPr>
    </w:p>
    <w:p>
      <w:pPr>
        <w:ind w:left="400" w:hanging="395"/>
        <w:spacing w:after="0" w:line="269" w:lineRule="auto"/>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paid per share excludes any applicable broker commission and excise tax due. However, as such amounts are considered direct costs associated with the repurchase of our common stock, they have been reflected as a reduction in the remaining authorization under our share repurchase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by Section 1503(a) of the Dodd-Frank Wall Street Reform and Consumer Protection Act and Item 104 of Regulation S-K (17 CFR 229.104) is included in Exhibit 95.1 to this quarterly report.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quarter ended June 30, 2025, none of the Company’s directors or executive officers adopted or terminated any: (a) contract, instruction, or written plan for the purchase or sale of Company securities intended to satisfy the affirmative defense conditions of Rule 10b5-1 or (b) non 10b5-1 trading arrangement, each as defined in Item 408(a) of Regulation S-K.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3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7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606"/>
        </w:trPr>
        <w:tc>
          <w:tcPr>
            <w:tcW w:w="76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Incorporated By Reference to or</w:t>
            </w:r>
          </w:p>
        </w:tc>
        <w:tc>
          <w:tcPr>
            <w:tcW w:w="0" w:type="dxa"/>
            <w:vAlign w:val="bottom"/>
          </w:tcPr>
          <w:p>
            <w:pPr>
              <w:spacing w:after="0"/>
              <w:rPr>
                <w:sz w:val="1"/>
                <w:szCs w:val="1"/>
                <w:color w:val="auto"/>
              </w:rPr>
            </w:pPr>
          </w:p>
        </w:tc>
      </w:tr>
      <w:tr>
        <w:trPr>
          <w:trHeight w:val="191"/>
        </w:trPr>
        <w:tc>
          <w:tcPr>
            <w:tcW w:w="760" w:type="dxa"/>
            <w:vAlign w:val="bottom"/>
            <w:tcBorders>
              <w:bottom w:val="single" w:sz="8" w:color="auto"/>
            </w:tcBorders>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 as Indicated Below</w:t>
            </w:r>
          </w:p>
        </w:tc>
        <w:tc>
          <w:tcPr>
            <w:tcW w:w="0" w:type="dxa"/>
            <w:vAlign w:val="bottom"/>
          </w:tcPr>
          <w:p>
            <w:pPr>
              <w:spacing w:after="0"/>
              <w:rPr>
                <w:sz w:val="1"/>
                <w:szCs w:val="1"/>
                <w:color w:val="auto"/>
              </w:rPr>
            </w:pPr>
          </w:p>
        </w:tc>
      </w:tr>
    </w:tbl>
    <w:p>
      <w:pPr>
        <w:spacing w:after="0" w:line="109" w:lineRule="exact"/>
        <w:rPr>
          <w:sz w:val="20"/>
          <w:szCs w:val="20"/>
          <w:color w:val="auto"/>
        </w:rPr>
      </w:pPr>
    </w:p>
    <w:p>
      <w:pPr>
        <w:sectPr>
          <w:pgSz w:w="11900" w:h="16838" w:orient="portrait"/>
          <w:cols w:equalWidth="0" w:num="1">
            <w:col w:w="11200"/>
          </w:cols>
          <w:pgMar w:left="320" w:top="116" w:right="379" w:bottom="1440" w:gutter="0" w:footer="0" w:header="0"/>
        </w:sectPr>
      </w:pPr>
    </w:p>
    <w:tbl>
      <w:tblPr>
        <w:tblLayout w:type="fixed"/>
        <w:tblInd w:w="2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3(a-1)</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Restated Certificate of Incorporation of EMCOR filed December 15,</w:t>
            </w:r>
          </w:p>
        </w:tc>
      </w:tr>
      <w:tr>
        <w:trPr>
          <w:trHeight w:val="228"/>
        </w:trPr>
        <w:tc>
          <w:tcPr>
            <w:tcW w:w="8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1994</w:t>
            </w:r>
          </w:p>
        </w:tc>
      </w:tr>
      <w:tr>
        <w:trPr>
          <w:trHeight w:val="180"/>
        </w:trPr>
        <w:tc>
          <w:tcPr>
            <w:tcW w:w="82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3(a-2)</w:t>
            </w:r>
          </w:p>
        </w:tc>
        <w:tc>
          <w:tcPr>
            <w:tcW w:w="5260" w:type="dxa"/>
            <w:vAlign w:val="bottom"/>
          </w:tcPr>
          <w:p>
            <w:pPr>
              <w:ind w:left="400"/>
              <w:spacing w:after="0" w:line="180" w:lineRule="exact"/>
              <w:rPr>
                <w:sz w:val="20"/>
                <w:szCs w:val="20"/>
                <w:color w:val="auto"/>
              </w:rPr>
            </w:pPr>
            <w:r>
              <w:rPr>
                <w:rFonts w:ascii="Times New Roman" w:cs="Times New Roman" w:eastAsia="Times New Roman" w:hAnsi="Times New Roman"/>
                <w:sz w:val="18"/>
                <w:szCs w:val="18"/>
                <w:color w:val="auto"/>
                <w:w w:val="98"/>
              </w:rPr>
              <w:t>Amendment dated November 28, 1995 to the Restated Certificate of</w:t>
            </w:r>
          </w:p>
        </w:tc>
      </w:tr>
      <w:tr>
        <w:trPr>
          <w:trHeight w:val="228"/>
        </w:trPr>
        <w:tc>
          <w:tcPr>
            <w:tcW w:w="8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Incorporation of EMCOR</w:t>
            </w:r>
          </w:p>
        </w:tc>
      </w:tr>
      <w:tr>
        <w:trPr>
          <w:trHeight w:val="180"/>
        </w:trPr>
        <w:tc>
          <w:tcPr>
            <w:tcW w:w="82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3(a-3)</w:t>
            </w:r>
          </w:p>
        </w:tc>
        <w:tc>
          <w:tcPr>
            <w:tcW w:w="5260" w:type="dxa"/>
            <w:vAlign w:val="bottom"/>
          </w:tcPr>
          <w:p>
            <w:pPr>
              <w:ind w:left="400"/>
              <w:spacing w:after="0" w:line="180" w:lineRule="exact"/>
              <w:rPr>
                <w:sz w:val="20"/>
                <w:szCs w:val="20"/>
                <w:color w:val="auto"/>
              </w:rPr>
            </w:pPr>
            <w:r>
              <w:rPr>
                <w:rFonts w:ascii="Times New Roman" w:cs="Times New Roman" w:eastAsia="Times New Roman" w:hAnsi="Times New Roman"/>
                <w:sz w:val="18"/>
                <w:szCs w:val="18"/>
                <w:color w:val="auto"/>
              </w:rPr>
              <w:t>Amendment dated February 12, 1998 to the Restated Certificate of</w:t>
            </w:r>
          </w:p>
        </w:tc>
      </w:tr>
      <w:tr>
        <w:trPr>
          <w:trHeight w:val="228"/>
        </w:trPr>
        <w:tc>
          <w:tcPr>
            <w:tcW w:w="8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Incorporation of EMCOR</w:t>
            </w:r>
          </w:p>
        </w:tc>
      </w:tr>
      <w:tr>
        <w:trPr>
          <w:trHeight w:val="180"/>
        </w:trPr>
        <w:tc>
          <w:tcPr>
            <w:tcW w:w="82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3(a-4)</w:t>
            </w:r>
          </w:p>
        </w:tc>
        <w:tc>
          <w:tcPr>
            <w:tcW w:w="5260" w:type="dxa"/>
            <w:vAlign w:val="bottom"/>
          </w:tcPr>
          <w:p>
            <w:pPr>
              <w:ind w:left="400"/>
              <w:spacing w:after="0" w:line="180" w:lineRule="exact"/>
              <w:rPr>
                <w:sz w:val="20"/>
                <w:szCs w:val="20"/>
                <w:color w:val="auto"/>
              </w:rPr>
            </w:pPr>
            <w:r>
              <w:rPr>
                <w:rFonts w:ascii="Times New Roman" w:cs="Times New Roman" w:eastAsia="Times New Roman" w:hAnsi="Times New Roman"/>
                <w:sz w:val="18"/>
                <w:szCs w:val="18"/>
                <w:color w:val="auto"/>
              </w:rPr>
              <w:t>Amendment dated January 27, 2006 to the Restated Certificate of</w:t>
            </w:r>
          </w:p>
        </w:tc>
      </w:tr>
      <w:tr>
        <w:trPr>
          <w:trHeight w:val="228"/>
        </w:trPr>
        <w:tc>
          <w:tcPr>
            <w:tcW w:w="8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Incorporation of EMCOR</w:t>
            </w:r>
          </w:p>
        </w:tc>
      </w:tr>
      <w:tr>
        <w:trPr>
          <w:trHeight w:val="180"/>
        </w:trPr>
        <w:tc>
          <w:tcPr>
            <w:tcW w:w="82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3(a-5)</w:t>
            </w:r>
          </w:p>
        </w:tc>
        <w:tc>
          <w:tcPr>
            <w:tcW w:w="5260" w:type="dxa"/>
            <w:vAlign w:val="bottom"/>
          </w:tcPr>
          <w:p>
            <w:pPr>
              <w:ind w:left="400"/>
              <w:spacing w:after="0" w:line="180" w:lineRule="exact"/>
              <w:rPr>
                <w:sz w:val="20"/>
                <w:szCs w:val="20"/>
                <w:color w:val="auto"/>
              </w:rPr>
            </w:pPr>
            <w:r>
              <w:rPr>
                <w:rFonts w:ascii="Times New Roman" w:cs="Times New Roman" w:eastAsia="Times New Roman" w:hAnsi="Times New Roman"/>
                <w:sz w:val="18"/>
                <w:szCs w:val="18"/>
                <w:color w:val="auto"/>
                <w:w w:val="98"/>
              </w:rPr>
              <w:t>Amendment dated September 18, 2007 to the Restated Certificate of</w:t>
            </w:r>
          </w:p>
        </w:tc>
      </w:tr>
      <w:tr>
        <w:trPr>
          <w:trHeight w:val="228"/>
        </w:trPr>
        <w:tc>
          <w:tcPr>
            <w:tcW w:w="8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Incorporation of EMCOR</w:t>
            </w:r>
          </w:p>
        </w:tc>
      </w:tr>
      <w:tr>
        <w:trPr>
          <w:trHeight w:val="180"/>
        </w:trPr>
        <w:tc>
          <w:tcPr>
            <w:tcW w:w="82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3(a-6)</w:t>
            </w:r>
          </w:p>
        </w:tc>
        <w:tc>
          <w:tcPr>
            <w:tcW w:w="5260" w:type="dxa"/>
            <w:vAlign w:val="bottom"/>
          </w:tcPr>
          <w:p>
            <w:pPr>
              <w:ind w:left="400"/>
              <w:spacing w:after="0" w:line="180" w:lineRule="exact"/>
              <w:rPr>
                <w:sz w:val="20"/>
                <w:szCs w:val="20"/>
                <w:color w:val="auto"/>
              </w:rPr>
            </w:pPr>
            <w:r>
              <w:rPr>
                <w:rFonts w:ascii="Times New Roman" w:cs="Times New Roman" w:eastAsia="Times New Roman" w:hAnsi="Times New Roman"/>
                <w:sz w:val="18"/>
                <w:szCs w:val="18"/>
                <w:color w:val="auto"/>
                <w:w w:val="97"/>
              </w:rPr>
              <w:t>Certificate of Amendment of Restated Certificate of Incorporation of</w:t>
            </w:r>
          </w:p>
        </w:tc>
      </w:tr>
      <w:tr>
        <w:trPr>
          <w:trHeight w:val="228"/>
        </w:trPr>
        <w:tc>
          <w:tcPr>
            <w:tcW w:w="8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EMCOR</w:t>
            </w:r>
          </w:p>
        </w:tc>
      </w:tr>
      <w:tr>
        <w:trPr>
          <w:trHeight w:val="2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3(b)</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Second Amended and Restated By-Laws of EMCOR</w:t>
            </w:r>
          </w:p>
        </w:tc>
      </w:tr>
      <w:tr>
        <w:trPr>
          <w:trHeight w:val="35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w:t>
            </w:r>
          </w:p>
        </w:tc>
      </w:tr>
      <w:tr>
        <w:trPr>
          <w:trHeight w:val="171"/>
        </w:trPr>
        <w:tc>
          <w:tcPr>
            <w:tcW w:w="820" w:type="dxa"/>
            <w:vAlign w:val="bottom"/>
          </w:tcPr>
          <w:p>
            <w:pPr>
              <w:spacing w:after="0"/>
              <w:rPr>
                <w:sz w:val="14"/>
                <w:szCs w:val="14"/>
                <w:color w:val="auto"/>
              </w:rPr>
            </w:pPr>
          </w:p>
        </w:tc>
        <w:tc>
          <w:tcPr>
            <w:tcW w:w="5260" w:type="dxa"/>
            <w:vAlign w:val="bottom"/>
          </w:tcPr>
          <w:p>
            <w:pPr>
              <w:ind w:left="400"/>
              <w:spacing w:after="0" w:line="171" w:lineRule="exact"/>
              <w:rPr>
                <w:sz w:val="20"/>
                <w:szCs w:val="20"/>
                <w:color w:val="auto"/>
              </w:rPr>
            </w:pPr>
            <w:r>
              <w:rPr>
                <w:rFonts w:ascii="Times New Roman" w:cs="Times New Roman" w:eastAsia="Times New Roman" w:hAnsi="Times New Roman"/>
                <w:sz w:val="18"/>
                <w:szCs w:val="18"/>
                <w:color w:val="auto"/>
              </w:rPr>
              <w:t>2002 by Anthony J. Guzzi, the Chairman, President, and Chief</w:t>
            </w:r>
          </w:p>
        </w:tc>
      </w:tr>
      <w:tr>
        <w:trPr>
          <w:trHeight w:val="228"/>
        </w:trPr>
        <w:tc>
          <w:tcPr>
            <w:tcW w:w="8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Executive Officer</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Exhibit 3(a-5) to EMCOR’s Registration Statement on Form 10 as</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originally filed March 17, 1995 (“Form 10”)</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Exhibit 3(a-2) to EMCOR’s Annual Report on Form 10-K for the</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year ended December 31, 1995 (“1995 Form 10-K”)</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Exhibit 3(a-3) to EMCOR’s Annual Report on Form 10-K for the</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year ended December 31, 1997 (“1997 Form 10-K”)</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Exhibit 3(a-4) to EMCOR’s Annual Report on Form 10-K for the</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year ended December 31, 2005 (“2005 Form 10-K”)</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Exhibit A to EMCOR’s Proxy Statement dated August 17, 2007 for</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Special Meeting of Stockholders held September 18, 2007</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Exhibit 3.1 to EMCOR’s Report on Form 8-K (Date of Report June</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8, 2023)</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Exhibit 3.1 to EMCOR’s Report on Form 8-K (Date of Report</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October 25, 2022)</w:t>
        </w:r>
      </w:hyperlink>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369" w:lineRule="exact"/>
        <w:rPr>
          <w:sz w:val="20"/>
          <w:szCs w:val="20"/>
          <w:color w:val="auto"/>
        </w:rPr>
      </w:pPr>
    </w:p>
    <w:p>
      <w:pPr>
        <w:sectPr>
          <w:pgSz w:w="11900" w:h="16838" w:orient="portrait"/>
          <w:cols w:equalWidth="0" w:num="2">
            <w:col w:w="6100" w:space="220"/>
            <w:col w:w="4880"/>
          </w:cols>
          <w:pgMar w:left="320" w:top="116" w:right="379" w:bottom="1440" w:gutter="0" w:footer="0" w:header="0"/>
          <w:type w:val="continuous"/>
        </w:sectPr>
      </w:pPr>
    </w:p>
    <w:tbl>
      <w:tblPr>
        <w:tblLayout w:type="fixed"/>
        <w:tblInd w:w="20" w:type="dxa"/>
        <w:tblCellMar>
          <w:top w:w="0" w:type="dxa"/>
          <w:left w:w="0" w:type="dxa"/>
          <w:bottom w:w="0" w:type="dxa"/>
          <w:right w:w="0" w:type="dxa"/>
        </w:tblCellMar>
      </w:tblPr>
      <w:tr>
        <w:trPr>
          <w:trHeight w:val="193"/>
        </w:trPr>
        <w:tc>
          <w:tcPr>
            <w:tcW w:w="760" w:type="dxa"/>
            <w:vAlign w:val="bottom"/>
          </w:tcPr>
          <w:p>
            <w:pPr>
              <w:jc w:val="right"/>
              <w:ind w:right="372"/>
              <w:spacing w:after="0" w:line="193" w:lineRule="exact"/>
              <w:rPr>
                <w:sz w:val="20"/>
                <w:szCs w:val="20"/>
                <w:color w:val="auto"/>
              </w:rPr>
            </w:pPr>
            <w:r>
              <w:rPr>
                <w:rFonts w:ascii="Times New Roman" w:cs="Times New Roman" w:eastAsia="Times New Roman" w:hAnsi="Times New Roman"/>
                <w:sz w:val="18"/>
                <w:szCs w:val="18"/>
                <w:color w:val="auto"/>
                <w:w w:val="88"/>
              </w:rPr>
              <w:t>31.2</w:t>
            </w:r>
          </w:p>
        </w:tc>
        <w:tc>
          <w:tcPr>
            <w:tcW w:w="554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Certification Pursuant to Section 302 of the Sarbanes-Oxley Act of</w:t>
            </w:r>
          </w:p>
        </w:tc>
        <w:tc>
          <w:tcPr>
            <w:tcW w:w="1020" w:type="dxa"/>
            <w:vAlign w:val="bottom"/>
            <w:tcBorders>
              <w:bottom w:val="single" w:sz="8" w:color="0000FF"/>
            </w:tcBorders>
            <w:gridSpan w:val="2"/>
          </w:tcPr>
          <w:p>
            <w:pPr>
              <w:spacing w:after="0" w:line="193" w:lineRule="exact"/>
              <w:rPr>
                <w:sz w:val="20"/>
                <w:szCs w:val="20"/>
                <w:color w:val="auto"/>
              </w:rPr>
            </w:pPr>
            <w:r>
              <w:rPr>
                <w:rFonts w:ascii="Times New Roman" w:cs="Times New Roman" w:eastAsia="Times New Roman" w:hAnsi="Times New Roman"/>
                <w:sz w:val="18"/>
                <w:szCs w:val="18"/>
                <w:color w:val="0000FF"/>
                <w:w w:val="95"/>
              </w:rPr>
              <w:t>Filed herewith</w:t>
            </w:r>
          </w:p>
        </w:tc>
      </w:tr>
      <w:tr>
        <w:trPr>
          <w:trHeight w:val="138"/>
        </w:trPr>
        <w:tc>
          <w:tcPr>
            <w:tcW w:w="760" w:type="dxa"/>
            <w:vAlign w:val="bottom"/>
          </w:tcPr>
          <w:p>
            <w:pPr>
              <w:spacing w:after="0"/>
              <w:rPr>
                <w:sz w:val="11"/>
                <w:szCs w:val="11"/>
                <w:color w:val="auto"/>
              </w:rPr>
            </w:pPr>
          </w:p>
        </w:tc>
        <w:tc>
          <w:tcPr>
            <w:tcW w:w="5540" w:type="dxa"/>
            <w:vAlign w:val="bottom"/>
          </w:tcPr>
          <w:p>
            <w:pPr>
              <w:ind w:left="460"/>
              <w:spacing w:after="0" w:line="138" w:lineRule="exact"/>
              <w:rPr>
                <w:sz w:val="20"/>
                <w:szCs w:val="20"/>
                <w:color w:val="auto"/>
              </w:rPr>
            </w:pPr>
            <w:r>
              <w:rPr>
                <w:rFonts w:ascii="Times New Roman" w:cs="Times New Roman" w:eastAsia="Times New Roman" w:hAnsi="Times New Roman"/>
                <w:sz w:val="15"/>
                <w:szCs w:val="15"/>
                <w:color w:val="auto"/>
              </w:rPr>
              <w:t>2002 by Jason R. Nalbandian, the Senior Vice President, Chief</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228"/>
        </w:trPr>
        <w:tc>
          <w:tcPr>
            <w:tcW w:w="760" w:type="dxa"/>
            <w:vAlign w:val="bottom"/>
          </w:tcPr>
          <w:p>
            <w:pPr>
              <w:spacing w:after="0"/>
              <w:rPr>
                <w:sz w:val="19"/>
                <w:szCs w:val="19"/>
                <w:color w:val="auto"/>
              </w:rPr>
            </w:pPr>
          </w:p>
        </w:tc>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Financial Officer and Chief Accounting Officer</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3"/>
        </w:trPr>
        <w:tc>
          <w:tcPr>
            <w:tcW w:w="760" w:type="dxa"/>
            <w:vAlign w:val="bottom"/>
          </w:tcPr>
          <w:p>
            <w:pPr>
              <w:jc w:val="right"/>
              <w:ind w:right="372"/>
              <w:spacing w:after="0" w:line="193" w:lineRule="exact"/>
              <w:rPr>
                <w:sz w:val="20"/>
                <w:szCs w:val="20"/>
                <w:color w:val="auto"/>
              </w:rPr>
            </w:pPr>
            <w:r>
              <w:rPr>
                <w:rFonts w:ascii="Times New Roman" w:cs="Times New Roman" w:eastAsia="Times New Roman" w:hAnsi="Times New Roman"/>
                <w:sz w:val="18"/>
                <w:szCs w:val="18"/>
                <w:color w:val="auto"/>
                <w:w w:val="88"/>
              </w:rPr>
              <w:t>32.1</w:t>
            </w:r>
          </w:p>
        </w:tc>
        <w:tc>
          <w:tcPr>
            <w:tcW w:w="554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Certification Pursuant to Section 906 of the Sarbanes-Oxley Act of</w:t>
            </w:r>
          </w:p>
        </w:tc>
        <w:tc>
          <w:tcPr>
            <w:tcW w:w="102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0000FF"/>
              </w:rPr>
              <w:t>Furnished</w:t>
            </w:r>
          </w:p>
        </w:tc>
      </w:tr>
      <w:tr>
        <w:trPr>
          <w:trHeight w:val="198"/>
        </w:trPr>
        <w:tc>
          <w:tcPr>
            <w:tcW w:w="760" w:type="dxa"/>
            <w:vAlign w:val="bottom"/>
          </w:tcPr>
          <w:p>
            <w:pPr>
              <w:spacing w:after="0"/>
              <w:rPr>
                <w:sz w:val="17"/>
                <w:szCs w:val="17"/>
                <w:color w:val="auto"/>
              </w:rPr>
            </w:pPr>
          </w:p>
        </w:tc>
        <w:tc>
          <w:tcPr>
            <w:tcW w:w="5540" w:type="dxa"/>
            <w:vAlign w:val="bottom"/>
          </w:tcPr>
          <w:p>
            <w:pPr>
              <w:ind w:left="460"/>
              <w:spacing w:after="0" w:line="199" w:lineRule="exact"/>
              <w:rPr>
                <w:sz w:val="20"/>
                <w:szCs w:val="20"/>
                <w:color w:val="auto"/>
              </w:rPr>
            </w:pPr>
            <w:r>
              <w:rPr>
                <w:rFonts w:ascii="Times New Roman" w:cs="Times New Roman" w:eastAsia="Times New Roman" w:hAnsi="Times New Roman"/>
                <w:sz w:val="18"/>
                <w:szCs w:val="18"/>
                <w:color w:val="auto"/>
              </w:rPr>
              <w:t>2002 by the Chairman, President, and Chief Executive Officer</w:t>
            </w:r>
          </w:p>
        </w:tc>
        <w:tc>
          <w:tcPr>
            <w:tcW w:w="7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r>
      <w:tr>
        <w:trPr>
          <w:trHeight w:val="189"/>
        </w:trPr>
        <w:tc>
          <w:tcPr>
            <w:tcW w:w="760" w:type="dxa"/>
            <w:vAlign w:val="bottom"/>
          </w:tcPr>
          <w:p>
            <w:pPr>
              <w:jc w:val="right"/>
              <w:ind w:right="372"/>
              <w:spacing w:after="0" w:line="189" w:lineRule="exact"/>
              <w:rPr>
                <w:sz w:val="20"/>
                <w:szCs w:val="20"/>
                <w:color w:val="auto"/>
              </w:rPr>
            </w:pPr>
            <w:r>
              <w:rPr>
                <w:rFonts w:ascii="Times New Roman" w:cs="Times New Roman" w:eastAsia="Times New Roman" w:hAnsi="Times New Roman"/>
                <w:sz w:val="18"/>
                <w:szCs w:val="18"/>
                <w:color w:val="auto"/>
                <w:w w:val="88"/>
              </w:rPr>
              <w:t>32.2</w:t>
            </w:r>
          </w:p>
        </w:tc>
        <w:tc>
          <w:tcPr>
            <w:tcW w:w="5540" w:type="dxa"/>
            <w:vAlign w:val="bottom"/>
          </w:tcPr>
          <w:p>
            <w:pPr>
              <w:ind w:left="460"/>
              <w:spacing w:after="0" w:line="189" w:lineRule="exact"/>
              <w:rPr>
                <w:sz w:val="20"/>
                <w:szCs w:val="20"/>
                <w:color w:val="auto"/>
              </w:rPr>
            </w:pPr>
            <w:r>
              <w:rPr>
                <w:rFonts w:ascii="Times New Roman" w:cs="Times New Roman" w:eastAsia="Times New Roman" w:hAnsi="Times New Roman"/>
                <w:sz w:val="18"/>
                <w:szCs w:val="18"/>
                <w:color w:val="auto"/>
              </w:rPr>
              <w:t>Certification Pursuant to Section 906 of the Sarbanes-Oxley Act of</w:t>
            </w:r>
          </w:p>
        </w:tc>
        <w:tc>
          <w:tcPr>
            <w:tcW w:w="10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Furnished</w:t>
            </w:r>
          </w:p>
        </w:tc>
      </w:tr>
      <w:tr>
        <w:trPr>
          <w:trHeight w:val="138"/>
        </w:trPr>
        <w:tc>
          <w:tcPr>
            <w:tcW w:w="760" w:type="dxa"/>
            <w:vAlign w:val="bottom"/>
          </w:tcPr>
          <w:p>
            <w:pPr>
              <w:spacing w:after="0"/>
              <w:rPr>
                <w:sz w:val="11"/>
                <w:szCs w:val="11"/>
                <w:color w:val="auto"/>
              </w:rPr>
            </w:pPr>
          </w:p>
        </w:tc>
        <w:tc>
          <w:tcPr>
            <w:tcW w:w="5540" w:type="dxa"/>
            <w:vAlign w:val="bottom"/>
          </w:tcPr>
          <w:p>
            <w:pPr>
              <w:ind w:left="460"/>
              <w:spacing w:after="0" w:line="138" w:lineRule="exact"/>
              <w:rPr>
                <w:sz w:val="20"/>
                <w:szCs w:val="20"/>
                <w:color w:val="auto"/>
              </w:rPr>
            </w:pPr>
            <w:r>
              <w:rPr>
                <w:rFonts w:ascii="Times New Roman" w:cs="Times New Roman" w:eastAsia="Times New Roman" w:hAnsi="Times New Roman"/>
                <w:sz w:val="15"/>
                <w:szCs w:val="15"/>
                <w:color w:val="auto"/>
              </w:rPr>
              <w:t>2002 by the Senior Vice President, Chief Financial Officer and Chief</w:t>
            </w:r>
          </w:p>
        </w:tc>
        <w:tc>
          <w:tcPr>
            <w:tcW w:w="70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r>
      <w:tr>
        <w:trPr>
          <w:trHeight w:val="228"/>
        </w:trPr>
        <w:tc>
          <w:tcPr>
            <w:tcW w:w="760" w:type="dxa"/>
            <w:vAlign w:val="bottom"/>
          </w:tcPr>
          <w:p>
            <w:pPr>
              <w:spacing w:after="0"/>
              <w:rPr>
                <w:sz w:val="19"/>
                <w:szCs w:val="19"/>
                <w:color w:val="auto"/>
              </w:rPr>
            </w:pPr>
          </w:p>
        </w:tc>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Accounting Officer</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3"/>
        </w:trPr>
        <w:tc>
          <w:tcPr>
            <w:tcW w:w="760" w:type="dxa"/>
            <w:vAlign w:val="bottom"/>
          </w:tcPr>
          <w:p>
            <w:pPr>
              <w:jc w:val="right"/>
              <w:ind w:right="372"/>
              <w:spacing w:after="0" w:line="193" w:lineRule="exact"/>
              <w:rPr>
                <w:sz w:val="20"/>
                <w:szCs w:val="20"/>
                <w:color w:val="auto"/>
              </w:rPr>
            </w:pPr>
            <w:r>
              <w:rPr>
                <w:rFonts w:ascii="Times New Roman" w:cs="Times New Roman" w:eastAsia="Times New Roman" w:hAnsi="Times New Roman"/>
                <w:sz w:val="18"/>
                <w:szCs w:val="18"/>
                <w:color w:val="auto"/>
                <w:w w:val="88"/>
              </w:rPr>
              <w:t>95.1</w:t>
            </w:r>
          </w:p>
        </w:tc>
        <w:tc>
          <w:tcPr>
            <w:tcW w:w="554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Information concerning mine safety violations or other regulatory</w:t>
            </w:r>
          </w:p>
        </w:tc>
        <w:tc>
          <w:tcPr>
            <w:tcW w:w="1020" w:type="dxa"/>
            <w:vAlign w:val="bottom"/>
            <w:tcBorders>
              <w:bottom w:val="single" w:sz="8" w:color="0000FF"/>
            </w:tcBorders>
            <w:gridSpan w:val="2"/>
          </w:tcPr>
          <w:p>
            <w:pPr>
              <w:spacing w:after="0" w:line="193" w:lineRule="exact"/>
              <w:rPr>
                <w:sz w:val="20"/>
                <w:szCs w:val="20"/>
                <w:color w:val="auto"/>
              </w:rPr>
            </w:pPr>
            <w:r>
              <w:rPr>
                <w:rFonts w:ascii="Times New Roman" w:cs="Times New Roman" w:eastAsia="Times New Roman" w:hAnsi="Times New Roman"/>
                <w:sz w:val="18"/>
                <w:szCs w:val="18"/>
                <w:color w:val="0000FF"/>
                <w:w w:val="95"/>
              </w:rPr>
              <w:t>Filed herewith</w:t>
            </w:r>
          </w:p>
        </w:tc>
      </w:tr>
      <w:tr>
        <w:trPr>
          <w:trHeight w:val="208"/>
        </w:trPr>
        <w:tc>
          <w:tcPr>
            <w:tcW w:w="760" w:type="dxa"/>
            <w:vAlign w:val="bottom"/>
          </w:tcPr>
          <w:p>
            <w:pPr>
              <w:spacing w:after="0"/>
              <w:rPr>
                <w:sz w:val="18"/>
                <w:szCs w:val="18"/>
                <w:color w:val="auto"/>
              </w:rPr>
            </w:pPr>
          </w:p>
        </w:tc>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matters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ind w:left="1240" w:right="4520" w:hanging="1217"/>
        <w:spacing w:after="0" w:line="204"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EMCOR Group, Inc.’s Quarterly Filed Report on Form 10-Q for the quarter ended June 30, 2025, formatted</w:t>
      </w:r>
    </w:p>
    <w:p>
      <w:pPr>
        <w:jc w:val="both"/>
        <w:ind w:left="1240" w:right="5100"/>
        <w:spacing w:after="0" w:line="2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iXBRL (Inline eXtensible Business Reporting Language): (i) the Consolidated Balance Sheets, (ii) the Condensed Consolidated Statements of Operations, (iii) the Condensed Consolidated Statements of Comprehensive Income, (iv) the Condensed Consolidated Statements of Cash Flows, (v) the Condensed Consolidated Statements of Equity and (vi) the Notes to Consolidated Financial Statements.</w:t>
      </w:r>
    </w:p>
    <w:tbl>
      <w:tblPr>
        <w:tblLayout w:type="fixed"/>
        <w:tblInd w:w="20" w:type="dxa"/>
        <w:tblCellMar>
          <w:top w:w="0" w:type="dxa"/>
          <w:left w:w="0" w:type="dxa"/>
          <w:bottom w:w="0" w:type="dxa"/>
          <w:right w:w="0" w:type="dxa"/>
        </w:tblCellMar>
      </w:tblPr>
      <w:tr>
        <w:trPr>
          <w:trHeight w:val="190"/>
        </w:trPr>
        <w:tc>
          <w:tcPr>
            <w:tcW w:w="740" w:type="dxa"/>
            <w:vAlign w:val="bottom"/>
          </w:tcPr>
          <w:p>
            <w:pPr>
              <w:jc w:val="right"/>
              <w:ind w:right="392"/>
              <w:spacing w:after="0" w:line="190" w:lineRule="exact"/>
              <w:rPr>
                <w:sz w:val="20"/>
                <w:szCs w:val="20"/>
                <w:color w:val="auto"/>
              </w:rPr>
            </w:pPr>
            <w:r>
              <w:rPr>
                <w:rFonts w:ascii="Times New Roman" w:cs="Times New Roman" w:eastAsia="Times New Roman" w:hAnsi="Times New Roman"/>
                <w:sz w:val="18"/>
                <w:szCs w:val="18"/>
                <w:color w:val="auto"/>
                <w:w w:val="88"/>
              </w:rPr>
              <w:t>104</w:t>
            </w:r>
          </w:p>
        </w:tc>
        <w:tc>
          <w:tcPr>
            <w:tcW w:w="5920" w:type="dxa"/>
            <w:vAlign w:val="bottom"/>
          </w:tcPr>
          <w:p>
            <w:pPr>
              <w:ind w:left="480"/>
              <w:spacing w:after="0" w:line="190" w:lineRule="exact"/>
              <w:rPr>
                <w:sz w:val="20"/>
                <w:szCs w:val="20"/>
                <w:color w:val="auto"/>
              </w:rPr>
            </w:pPr>
            <w:r>
              <w:rPr>
                <w:rFonts w:ascii="Times New Roman" w:cs="Times New Roman" w:eastAsia="Times New Roman" w:hAnsi="Times New Roman"/>
                <w:sz w:val="18"/>
                <w:szCs w:val="18"/>
                <w:color w:val="auto"/>
              </w:rPr>
              <w:t>Cover Page Interactive Data File (formatted in Inline XBRL and   Filed</w:t>
            </w:r>
          </w:p>
        </w:tc>
      </w:tr>
      <w:tr>
        <w:trPr>
          <w:trHeight w:val="228"/>
        </w:trPr>
        <w:tc>
          <w:tcPr>
            <w:tcW w:w="740" w:type="dxa"/>
            <w:vAlign w:val="bottom"/>
          </w:tcPr>
          <w:p>
            <w:pPr>
              <w:spacing w:after="0"/>
              <w:rPr>
                <w:sz w:val="19"/>
                <w:szCs w:val="19"/>
                <w:color w:val="auto"/>
              </w:rPr>
            </w:pPr>
          </w:p>
        </w:tc>
        <w:tc>
          <w:tcPr>
            <w:tcW w:w="5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w:t>
      </w:r>
    </w:p>
    <w:p>
      <w:pPr>
        <w:sectPr>
          <w:pgSz w:w="11900" w:h="16838" w:orient="portrait"/>
          <w:cols w:equalWidth="0" w:num="1">
            <w:col w:w="11240"/>
          </w:cols>
          <w:pgMar w:left="320" w:top="116" w:right="33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 thereunto duly authorized.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EMCOR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3350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3350895" cy="8255"/>
                    </a:xfrm>
                    <a:prstGeom prst="rect">
                      <a:avLst/>
                    </a:prstGeom>
                    <a:noFill/>
                  </pic:spPr>
                </pic:pic>
              </a:graphicData>
            </a:graphic>
          </wp:anchor>
        </w:drawing>
      </w:r>
    </w:p>
    <w:p>
      <w:pPr>
        <w:spacing w:after="0" w:line="10"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(Registrant)</w:t>
      </w:r>
    </w:p>
    <w:p>
      <w:pPr>
        <w:spacing w:after="0" w:line="3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33508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3350895" cy="8255"/>
                    </a:xfrm>
                    <a:prstGeom prst="rect">
                      <a:avLst/>
                    </a:prstGeom>
                    <a:noFill/>
                  </pic:spPr>
                </pic:pic>
              </a:graphicData>
            </a:graphic>
          </wp:anchor>
        </w:drawing>
      </w:r>
    </w:p>
    <w:p>
      <w:pPr>
        <w:spacing w:after="0" w:line="1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Anthony J. Guzzi</w:t>
      </w:r>
    </w:p>
    <w:p>
      <w:pPr>
        <w:spacing w:after="0" w:line="2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1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JASON R. NALBANDIAN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3350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3350895" cy="8255"/>
                    </a:xfrm>
                    <a:prstGeom prst="rect">
                      <a:avLst/>
                    </a:prstGeom>
                    <a:noFill/>
                  </pic:spPr>
                </pic:pic>
              </a:graphicData>
            </a:graphic>
          </wp:anchor>
        </w:drawing>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Jason R. Nalbandian</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ind w:left="700"/>
        <w:spacing w:after="0" w:line="198" w:lineRule="auto"/>
        <w:rPr>
          <w:sz w:val="20"/>
          <w:szCs w:val="20"/>
          <w:color w:val="auto"/>
        </w:rPr>
      </w:pPr>
      <w:r>
        <w:rPr>
          <w:rFonts w:ascii="Times New Roman" w:cs="Times New Roman" w:eastAsia="Times New Roman" w:hAnsi="Times New Roman"/>
          <w:sz w:val="18"/>
          <w:szCs w:val="18"/>
          <w:color w:val="auto"/>
        </w:rPr>
        <w:t>and Chief Accounting Officer</w:t>
      </w:r>
    </w:p>
    <w:p>
      <w:pPr>
        <w:jc w:val="center"/>
        <w:ind w:right="9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6120" w:space="720"/>
            <w:col w:w="440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16" w:right="339" w:bottom="1440" w:gutter="0" w:footer="0" w:header="0"/>
          <w:type w:val="continuous"/>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Guzzi, certify that:</w:t>
      </w:r>
    </w:p>
    <w:p>
      <w:pPr>
        <w:spacing w:after="0" w:line="96" w:lineRule="exact"/>
        <w:rPr>
          <w:sz w:val="20"/>
          <w:szCs w:val="20"/>
          <w:color w:val="auto"/>
        </w:rPr>
      </w:pPr>
    </w:p>
    <w:p>
      <w:pPr>
        <w:ind w:left="800" w:hanging="479"/>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EMCOR Group, Inc.;</w:t>
      </w:r>
    </w:p>
    <w:p>
      <w:pPr>
        <w:spacing w:after="0" w:line="82" w:lineRule="exact"/>
        <w:rPr>
          <w:rFonts w:ascii="Times New Roman" w:cs="Times New Roman" w:eastAsia="Times New Roman" w:hAnsi="Times New Roman"/>
          <w:sz w:val="18"/>
          <w:szCs w:val="18"/>
          <w:color w:val="auto"/>
        </w:rPr>
      </w:pPr>
    </w:p>
    <w:p>
      <w:pPr>
        <w:jc w:val="both"/>
        <w:ind w:left="800" w:hanging="479"/>
        <w:spacing w:after="0" w:line="256"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800" w:hanging="479"/>
        <w:spacing w:after="0" w:line="268"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800" w:hanging="479"/>
        <w:spacing w:after="0" w:line="256"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jc w:val="both"/>
        <w:ind w:left="1260" w:hanging="465"/>
        <w:spacing w:after="0" w:line="256" w:lineRule="auto"/>
        <w:tabs>
          <w:tab w:leader="none" w:pos="12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jc w:val="both"/>
        <w:ind w:left="1260" w:hanging="465"/>
        <w:spacing w:after="0" w:line="256" w:lineRule="auto"/>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260" w:hanging="465"/>
        <w:spacing w:after="0" w:line="268" w:lineRule="auto"/>
        <w:tabs>
          <w:tab w:leader="none" w:pos="12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jc w:val="both"/>
        <w:ind w:left="1260" w:hanging="465"/>
        <w:spacing w:after="0" w:line="256" w:lineRule="auto"/>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800" w:hanging="479"/>
        <w:spacing w:after="0" w:line="268"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1260" w:hanging="465"/>
        <w:spacing w:after="0" w:line="268" w:lineRule="auto"/>
        <w:tabs>
          <w:tab w:leader="none" w:pos="12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1260" w:hanging="465"/>
        <w:spacing w:after="0" w:line="268" w:lineRule="auto"/>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80"/>
        <w:spacing w:after="0"/>
        <w:tabs>
          <w:tab w:leader="none" w:pos="1020" w:val="left"/>
          <w:tab w:leader="none" w:pos="6960" w:val="left"/>
        </w:tabs>
        <w:rPr>
          <w:sz w:val="20"/>
          <w:szCs w:val="20"/>
          <w:color w:val="auto"/>
        </w:rPr>
      </w:pPr>
      <w:r>
        <w:rPr>
          <w:rFonts w:ascii="Times New Roman" w:cs="Times New Roman" w:eastAsia="Times New Roman" w:hAnsi="Times New Roman"/>
          <w:sz w:val="18"/>
          <w:szCs w:val="18"/>
          <w:color w:val="auto"/>
        </w:rPr>
        <w:t>Date:</w:t>
        <w:tab/>
        <w:t>July 31, 2025</w:t>
      </w:r>
      <w:r>
        <w:rPr>
          <w:sz w:val="20"/>
          <w:szCs w:val="20"/>
          <w:color w:val="auto"/>
        </w:rPr>
        <w:tab/>
      </w:r>
      <w:r>
        <w:rPr>
          <w:rFonts w:ascii="Times New Roman" w:cs="Times New Roman" w:eastAsia="Times New Roman" w:hAnsi="Times New Roman"/>
          <w:sz w:val="16"/>
          <w:szCs w:val="16"/>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13970</wp:posOffset>
            </wp:positionV>
            <wp:extent cx="31000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jc w:val="center"/>
        <w:ind w:left="4460"/>
        <w:spacing w:after="0"/>
        <w:rPr>
          <w:sz w:val="20"/>
          <w:szCs w:val="20"/>
          <w:color w:val="auto"/>
        </w:rPr>
      </w:pPr>
      <w:r>
        <w:rPr>
          <w:rFonts w:ascii="Times New Roman" w:cs="Times New Roman" w:eastAsia="Times New Roman" w:hAnsi="Times New Roman"/>
          <w:sz w:val="18"/>
          <w:szCs w:val="18"/>
          <w:color w:val="auto"/>
        </w:rPr>
        <w:t>Anthony J. Guzzi</w:t>
      </w:r>
    </w:p>
    <w:p>
      <w:pPr>
        <w:jc w:val="cente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96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R. Nalbandian, certify that:</w:t>
      </w:r>
    </w:p>
    <w:p>
      <w:pPr>
        <w:spacing w:after="0" w:line="96" w:lineRule="exact"/>
        <w:rPr>
          <w:sz w:val="20"/>
          <w:szCs w:val="20"/>
          <w:color w:val="auto"/>
        </w:rPr>
      </w:pPr>
    </w:p>
    <w:p>
      <w:pPr>
        <w:ind w:left="800" w:hanging="479"/>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EMCOR Group, Inc.;</w:t>
      </w:r>
    </w:p>
    <w:p>
      <w:pPr>
        <w:spacing w:after="0" w:line="82" w:lineRule="exact"/>
        <w:rPr>
          <w:rFonts w:ascii="Times New Roman" w:cs="Times New Roman" w:eastAsia="Times New Roman" w:hAnsi="Times New Roman"/>
          <w:sz w:val="18"/>
          <w:szCs w:val="18"/>
          <w:color w:val="auto"/>
        </w:rPr>
      </w:pPr>
    </w:p>
    <w:p>
      <w:pPr>
        <w:jc w:val="both"/>
        <w:ind w:left="800" w:hanging="479"/>
        <w:spacing w:after="0" w:line="256"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800" w:hanging="479"/>
        <w:spacing w:after="0" w:line="268"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800" w:hanging="479"/>
        <w:spacing w:after="0" w:line="256"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jc w:val="both"/>
        <w:ind w:left="1260" w:hanging="465"/>
        <w:spacing w:after="0" w:line="256" w:lineRule="auto"/>
        <w:tabs>
          <w:tab w:leader="none" w:pos="12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jc w:val="both"/>
        <w:ind w:left="1260" w:hanging="465"/>
        <w:spacing w:after="0" w:line="256" w:lineRule="auto"/>
        <w:tabs>
          <w:tab w:leader="none" w:pos="1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260" w:hanging="465"/>
        <w:spacing w:after="0" w:line="268" w:lineRule="auto"/>
        <w:tabs>
          <w:tab w:leader="none" w:pos="12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jc w:val="both"/>
        <w:ind w:left="1260" w:hanging="465"/>
        <w:spacing w:after="0" w:line="256" w:lineRule="auto"/>
        <w:tabs>
          <w:tab w:leader="none" w:pos="1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800" w:hanging="479"/>
        <w:spacing w:after="0" w:line="268"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1260" w:hanging="465"/>
        <w:spacing w:after="0" w:line="268" w:lineRule="auto"/>
        <w:tabs>
          <w:tab w:leader="none" w:pos="12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1260" w:hanging="465"/>
        <w:spacing w:after="0" w:line="268" w:lineRule="auto"/>
        <w:tabs>
          <w:tab w:leader="none" w:pos="1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80"/>
        <w:spacing w:after="0"/>
        <w:tabs>
          <w:tab w:leader="none" w:pos="1020" w:val="left"/>
          <w:tab w:leader="none" w:pos="6780" w:val="left"/>
        </w:tabs>
        <w:rPr>
          <w:sz w:val="20"/>
          <w:szCs w:val="20"/>
          <w:color w:val="auto"/>
        </w:rPr>
      </w:pPr>
      <w:r>
        <w:rPr>
          <w:rFonts w:ascii="Times New Roman" w:cs="Times New Roman" w:eastAsia="Times New Roman" w:hAnsi="Times New Roman"/>
          <w:sz w:val="18"/>
          <w:szCs w:val="18"/>
          <w:color w:val="auto"/>
        </w:rPr>
        <w:t>Date:</w:t>
        <w:tab/>
        <w:t>July 31, 2025</w:t>
      </w:r>
      <w:r>
        <w:rPr>
          <w:sz w:val="20"/>
          <w:szCs w:val="20"/>
          <w:color w:val="auto"/>
        </w:rPr>
        <w:tab/>
      </w:r>
      <w:r>
        <w:rPr>
          <w:rFonts w:ascii="Times New Roman" w:cs="Times New Roman" w:eastAsia="Times New Roman" w:hAnsi="Times New Roman"/>
          <w:sz w:val="16"/>
          <w:szCs w:val="16"/>
          <w:color w:val="auto"/>
        </w:rPr>
        <w:t>/s/ JASON R. NALBANDIAN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13970</wp:posOffset>
            </wp:positionV>
            <wp:extent cx="3100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jc w:val="center"/>
        <w:ind w:left="4500"/>
        <w:spacing w:after="0"/>
        <w:rPr>
          <w:sz w:val="20"/>
          <w:szCs w:val="20"/>
          <w:color w:val="auto"/>
        </w:rPr>
      </w:pPr>
      <w:r>
        <w:rPr>
          <w:rFonts w:ascii="Times New Roman" w:cs="Times New Roman" w:eastAsia="Times New Roman" w:hAnsi="Times New Roman"/>
          <w:sz w:val="18"/>
          <w:szCs w:val="18"/>
          <w:color w:val="auto"/>
        </w:rPr>
        <w:t>Jason R. Nalbandian</w:t>
      </w:r>
    </w:p>
    <w:p>
      <w:pPr>
        <w:jc w:val="center"/>
        <w:ind w:left="4500"/>
        <w:spacing w:after="0" w:line="213" w:lineRule="auto"/>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and Chief Accounting Officer</w:t>
      </w:r>
    </w:p>
    <w:p>
      <w:pPr>
        <w:sectPr>
          <w:pgSz w:w="11900" w:h="16838" w:orient="portrait"/>
          <w:cols w:equalWidth="0" w:num="1">
            <w:col w:w="11240"/>
          </w:cols>
          <w:pgMar w:left="320" w:top="96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8"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EMCOR Group, Inc. (the “Company”) on Form 10-Q for the period ended June 30, 2025 as filed with the Securities and Exchange Commission on the date hereof (the “Report”), I, Anthony J. Guzzi, Chairman, President, and Chief Executive Officer of the Company, certify, pursuant to 18 U.S.C. Section 1350, as adopted pursuant to Section 906 of the Sarbanes-Oxley Act of 2002, that:</w:t>
      </w:r>
    </w:p>
    <w:p>
      <w:pPr>
        <w:spacing w:after="0" w:line="61" w:lineRule="exact"/>
        <w:rPr>
          <w:sz w:val="20"/>
          <w:szCs w:val="20"/>
          <w:color w:val="auto"/>
        </w:rPr>
      </w:pPr>
    </w:p>
    <w:p>
      <w:pPr>
        <w:ind w:left="1120" w:hanging="483"/>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8"/>
          <w:szCs w:val="18"/>
          <w:color w:val="auto"/>
        </w:rPr>
      </w:pPr>
    </w:p>
    <w:p>
      <w:pPr>
        <w:ind w:left="1120" w:hanging="483"/>
        <w:spacing w:after="0" w:line="268"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spacing w:after="0"/>
        <w:tabs>
          <w:tab w:leader="none" w:pos="700" w:val="left"/>
          <w:tab w:leader="none" w:pos="7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2025</w:t>
      </w:r>
      <w:r>
        <w:rPr>
          <w:sz w:val="20"/>
          <w:szCs w:val="20"/>
          <w:color w:val="auto"/>
        </w:rPr>
        <w:tab/>
      </w:r>
      <w:r>
        <w:rPr>
          <w:rFonts w:ascii="Times New Roman" w:cs="Times New Roman" w:eastAsia="Times New Roman" w:hAnsi="Times New Roman"/>
          <w:sz w:val="16"/>
          <w:szCs w:val="16"/>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13970</wp:posOffset>
            </wp:positionV>
            <wp:extent cx="35007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500755" cy="8255"/>
                    </a:xfrm>
                    <a:prstGeom prst="rect">
                      <a:avLst/>
                    </a:prstGeom>
                    <a:noFill/>
                  </pic:spPr>
                </pic:pic>
              </a:graphicData>
            </a:graphic>
          </wp:anchor>
        </w:drawing>
      </w:r>
    </w:p>
    <w:p>
      <w:pPr>
        <w:spacing w:after="0" w:line="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Anthony J. Guzzi</w:t>
      </w:r>
    </w:p>
    <w:p>
      <w:pPr>
        <w:jc w:val="cente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96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8" w:lineRule="exact"/>
        <w:rPr>
          <w:sz w:val="20"/>
          <w:szCs w:val="20"/>
          <w:color w:val="auto"/>
        </w:rPr>
      </w:pPr>
    </w:p>
    <w:p>
      <w:pPr>
        <w:jc w:val="both"/>
        <w:ind w:firstLine="632"/>
        <w:spacing w:after="0" w:line="303" w:lineRule="auto"/>
        <w:rPr>
          <w:sz w:val="20"/>
          <w:szCs w:val="20"/>
          <w:color w:val="auto"/>
        </w:rPr>
      </w:pPr>
      <w:r>
        <w:rPr>
          <w:rFonts w:ascii="Times New Roman" w:cs="Times New Roman" w:eastAsia="Times New Roman" w:hAnsi="Times New Roman"/>
          <w:sz w:val="16"/>
          <w:szCs w:val="16"/>
          <w:color w:val="auto"/>
        </w:rPr>
        <w:t>In connection with the Quarterly Report of EMCOR Group, Inc. (the “Company”) on Form 10-Q for the period ended June 30, 2025 as filed with the Securities and Exchange Commission on the date hereof (the “Report”), I, Jason R. Nalbandian, Senior Vice President, Chief Financial Officer and Chief Accounting Officer of the Company, certify, pursuant to 18 U.S.C. Section 1350, as adopted pursuant to Section 906 of the Sarbanes-Oxley Act of 2002, that:</w:t>
      </w:r>
    </w:p>
    <w:p>
      <w:pPr>
        <w:spacing w:after="0" w:line="27" w:lineRule="exact"/>
        <w:rPr>
          <w:sz w:val="20"/>
          <w:szCs w:val="20"/>
          <w:color w:val="auto"/>
        </w:rPr>
      </w:pPr>
    </w:p>
    <w:p>
      <w:pPr>
        <w:ind w:left="1120" w:hanging="483"/>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8"/>
          <w:szCs w:val="18"/>
          <w:color w:val="auto"/>
        </w:rPr>
      </w:pPr>
    </w:p>
    <w:p>
      <w:pPr>
        <w:ind w:left="1120" w:hanging="483"/>
        <w:spacing w:after="0" w:line="268" w:lineRule="auto"/>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spacing w:after="0"/>
        <w:tabs>
          <w:tab w:leader="none" w:pos="700" w:val="left"/>
          <w:tab w:leader="none" w:pos="7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2025</w:t>
      </w:r>
      <w:r>
        <w:rPr>
          <w:sz w:val="20"/>
          <w:szCs w:val="20"/>
          <w:color w:val="auto"/>
        </w:rPr>
        <w:tab/>
      </w:r>
      <w:r>
        <w:rPr>
          <w:rFonts w:ascii="Times New Roman" w:cs="Times New Roman" w:eastAsia="Times New Roman" w:hAnsi="Times New Roman"/>
          <w:sz w:val="16"/>
          <w:szCs w:val="16"/>
          <w:color w:val="auto"/>
        </w:rPr>
        <w:t>/s/ JASON R. NALBANDIAN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13970</wp:posOffset>
            </wp:positionV>
            <wp:extent cx="35007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3500755" cy="8255"/>
                    </a:xfrm>
                    <a:prstGeom prst="rect">
                      <a:avLst/>
                    </a:prstGeom>
                    <a:noFill/>
                  </pic:spPr>
                </pic:pic>
              </a:graphicData>
            </a:graphic>
          </wp:anchor>
        </w:drawing>
      </w:r>
    </w:p>
    <w:p>
      <w:pPr>
        <w:spacing w:after="0" w:line="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Jason R. Nalbandian</w:t>
      </w:r>
    </w:p>
    <w:p>
      <w:pPr>
        <w:ind w:left="6820"/>
        <w:spacing w:after="0" w:line="198" w:lineRule="auto"/>
        <w:rPr>
          <w:sz w:val="20"/>
          <w:szCs w:val="20"/>
          <w:color w:val="auto"/>
        </w:rPr>
      </w:pPr>
      <w:r>
        <w:rPr>
          <w:rFonts w:ascii="Times New Roman" w:cs="Times New Roman" w:eastAsia="Times New Roman" w:hAnsi="Times New Roman"/>
          <w:sz w:val="18"/>
          <w:szCs w:val="18"/>
          <w:color w:val="auto"/>
        </w:rPr>
        <w:t>Senior Vice President, Chief Financial Officer</w:t>
      </w:r>
    </w:p>
    <w:p>
      <w:pPr>
        <w:ind w:left="7400"/>
        <w:spacing w:after="0"/>
        <w:rPr>
          <w:sz w:val="20"/>
          <w:szCs w:val="20"/>
          <w:color w:val="auto"/>
        </w:rPr>
      </w:pPr>
      <w:r>
        <w:rPr>
          <w:rFonts w:ascii="Times New Roman" w:cs="Times New Roman" w:eastAsia="Times New Roman" w:hAnsi="Times New Roman"/>
          <w:sz w:val="18"/>
          <w:szCs w:val="18"/>
          <w:color w:val="auto"/>
        </w:rPr>
        <w:t>and Chief Accounting Officer</w:t>
      </w:r>
    </w:p>
    <w:p>
      <w:pPr>
        <w:sectPr>
          <w:pgSz w:w="11900" w:h="16838" w:orient="portrait"/>
          <w:cols w:equalWidth="0" w:num="1">
            <w:col w:w="11240"/>
          </w:cols>
          <w:pgMar w:left="320" w:top="96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95.1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disclosures to report under section 1503 for the period covered by this report.</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0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64" Type="http://schemas.openxmlformats.org/officeDocument/2006/relationships/hyperlink" Target="https://www.sec.gov/Archives/edgar/data/105634/0000899681-95-000061.txt" TargetMode="External"/><Relationship Id="rId65" Type="http://schemas.openxmlformats.org/officeDocument/2006/relationships/hyperlink" Target="https://www.sec.gov/Archives/edgar/data/105634/0000950130-96-000829.txt" TargetMode="External"/><Relationship Id="rId66" Type="http://schemas.openxmlformats.org/officeDocument/2006/relationships/hyperlink" Target="https://www.sec.gov/Archives/edgar/data/105634/0000889812-98-000514.txt" TargetMode="External"/><Relationship Id="rId67" Type="http://schemas.openxmlformats.org/officeDocument/2006/relationships/hyperlink" Target="https://www.sec.gov/Archives/edgar/data/105634/000093041306001268/c41117_ex3-a4.txt" TargetMode="External"/><Relationship Id="rId68" Type="http://schemas.openxmlformats.org/officeDocument/2006/relationships/hyperlink" Target="https://www.sec.gov/Archives/edgar/data/105634/000093041307006783/c49457_def14a.htm" TargetMode="External"/><Relationship Id="rId69" Type="http://schemas.openxmlformats.org/officeDocument/2006/relationships/hyperlink" Target="https://www.sec.gov/Archives/edgar/data/105634/000010563423000023/eme-ex31x20230608x8k.htm" TargetMode="External"/><Relationship Id="rId70" Type="http://schemas.openxmlformats.org/officeDocument/2006/relationships/hyperlink" Target="https://www.sec.gov/Archives/edgar/data/105634/000010563422000036/eme-ex31_20221025x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2025-07-31T06:42:25Z</dcterms:created>
  <dcterms:modified xsi:type="dcterms:W3CDTF">2025-07-31T06:42:25Z</dcterms:modified>
</cp:coreProperties>
</file>