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Nalbandian Jason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MERRITT SEVEN</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NORWALK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EMCOR Group, Inc.</w:t>
              </w:r>
            </w:hyperlink>
            <w:r>
              <w:rPr/>
              <w:t xml:space="preserve"> [ </w:t>
            </w:r>
            <w:r>
              <w:rPr>
                <w:rFonts w:ascii="Times;serif" w:hAnsi="Times;serif"/>
                <w:color w:val="0000FF"/>
                <w:sz w:val="24"/>
                <w:shd w:fill="FFFFFF" w:val="clear"/>
              </w:rPr>
              <w:t>EME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Acct Officer &amp; CFO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18,161</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issued in respect of already outstanding RSUs as a consequence of a dividend paid on the Company's common stock on July 31, 2026. The RSUs issued on July 31, 2026 are subject to the same vesting and forfeiture provisions as the RSUs in respect of which they have been issued.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issuable in respect of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Maxine L. Mauricio,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5650" TargetMode="External"/><Relationship Id="rId5" Type="http://schemas.openxmlformats.org/officeDocument/2006/relationships/hyperlink" Target="http://www.sec.gov/cgi-bin/browse-edgar?action=getcompany&amp;CIK=00001056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3372</Characters>
  <CharactersWithSpaces>3933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