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590" w:type="dxa"/>
        <w:jc w:val="center"/>
        <w:tblInd w:w="0" w:type="dxa"/>
        <w:tblLayout w:type="fixed"/>
        <w:tblCellMar>
          <w:top w:w="28" w:type="dxa"/>
          <w:left w:w="28" w:type="dxa"/>
          <w:bottom w:w="28" w:type="dxa"/>
          <w:right w:w="28" w:type="dxa"/>
        </w:tblCellMar>
      </w:tblPr>
      <w:tblGrid>
        <w:gridCol w:w="321"/>
        <w:gridCol w:w="282"/>
        <w:gridCol w:w="283"/>
        <w:gridCol w:w="205"/>
        <w:gridCol w:w="205"/>
        <w:gridCol w:w="29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6"/>
              </w:rPr>
            </w:pPr>
            <w:r>
              <w:rPr>
                <w:rFonts w:ascii="Times New Roman;serif" w:hAnsi="Times New Roman;serif"/>
                <w:b/>
                <w:color w:val="000000"/>
                <w:sz w:val="26"/>
              </w:rPr>
              <w:t>FORM</w:t>
            </w:r>
          </w:p>
        </w:tc>
        <w:tc>
          <w:tcPr>
            <w:tcW w:w="7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6"/>
              </w:rPr>
            </w:pPr>
            <w:r>
              <w:rPr>
                <w:rFonts w:ascii="Times New Roman;serif" w:hAnsi="Times New Roman;serif"/>
                <w:b/>
                <w:color w:val="000000"/>
                <w:sz w:val="26"/>
              </w:rPr>
              <w:t>10-Q</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20"/>
          <w:u w:val="single"/>
        </w:rPr>
        <w:t xml:space="preserve">1-8267 </w:t>
      </w:r>
    </w:p>
    <w:tbl>
      <w:tblPr>
        <w:tblW w:w="4469" w:type="dxa"/>
        <w:jc w:val="center"/>
        <w:tblInd w:w="0" w:type="dxa"/>
        <w:tblLayout w:type="fixed"/>
        <w:tblCellMar>
          <w:top w:w="28" w:type="dxa"/>
          <w:left w:w="28" w:type="dxa"/>
          <w:bottom w:w="28" w:type="dxa"/>
          <w:right w:w="28" w:type="dxa"/>
        </w:tblCellMar>
      </w:tblPr>
      <w:tblGrid>
        <w:gridCol w:w="1429"/>
        <w:gridCol w:w="1258"/>
        <w:gridCol w:w="1782"/>
      </w:tblGrid>
      <w:tr>
        <w:trPr/>
        <w:tc>
          <w:tcPr>
            <w:tcW w:w="142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00" w:after="283"/>
              <w:jc w:val="center"/>
              <w:rPr>
                <w:rFonts w:ascii="Times New Roman;serif" w:hAnsi="Times New Roman;serif"/>
                <w:b/>
                <w:color w:val="000000"/>
                <w:sz w:val="26"/>
              </w:rPr>
            </w:pPr>
            <w:r>
              <w:rPr>
                <w:rFonts w:ascii="Times New Roman;serif" w:hAnsi="Times New Roman;serif"/>
                <w:b/>
                <w:color w:val="000000"/>
                <w:sz w:val="26"/>
              </w:rPr>
              <w:t>EMCOR Group, Inc.</w:t>
            </w:r>
          </w:p>
        </w:tc>
      </w:tr>
      <w:tr>
        <w:trPr/>
        <w:tc>
          <w:tcPr>
            <w:tcW w:w="4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(Exact Name of Registrant as Specified in Its Charter)</w:t>
            </w:r>
          </w:p>
        </w:tc>
      </w:tr>
    </w:tbl>
    <w:tbl>
      <w:tblPr>
        <w:tblW w:w="5694" w:type="dxa"/>
        <w:jc w:val="left"/>
        <w:tblInd w:w="0" w:type="dxa"/>
        <w:tblLayout w:type="fixed"/>
        <w:tblCellMar>
          <w:top w:w="28" w:type="dxa"/>
          <w:left w:w="28" w:type="dxa"/>
          <w:bottom w:w="28" w:type="dxa"/>
          <w:right w:w="28" w:type="dxa"/>
        </w:tblCellMar>
      </w:tblPr>
      <w:tblGrid>
        <w:gridCol w:w="619"/>
        <w:gridCol w:w="543"/>
        <w:gridCol w:w="543"/>
        <w:gridCol w:w="543"/>
        <w:gridCol w:w="543"/>
        <w:gridCol w:w="567"/>
        <w:gridCol w:w="109"/>
        <w:gridCol w:w="109"/>
        <w:gridCol w:w="109"/>
        <w:gridCol w:w="586"/>
        <w:gridCol w:w="586"/>
        <w:gridCol w:w="837"/>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11-2125338</w:t>
            </w:r>
          </w:p>
        </w:tc>
      </w:tr>
      <w:tr>
        <w:trPr/>
        <w:tc>
          <w:tcPr>
            <w:tcW w:w="335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 Merritt Seven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Norwalk,</w:t>
            </w:r>
          </w:p>
        </w:tc>
        <w:tc>
          <w:tcPr>
            <w:tcW w:w="16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06851-1092</w:t>
            </w:r>
          </w:p>
        </w:tc>
      </w:tr>
      <w:tr>
        <w:trPr/>
        <w:tc>
          <w:tcPr>
            <w:tcW w:w="335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4649" w:type="dxa"/>
        <w:jc w:val="center"/>
        <w:tblInd w:w="0" w:type="dxa"/>
        <w:tblLayout w:type="fixed"/>
        <w:tblCellMar>
          <w:top w:w="28" w:type="dxa"/>
          <w:left w:w="28" w:type="dxa"/>
          <w:bottom w:w="28" w:type="dxa"/>
          <w:right w:w="28" w:type="dxa"/>
        </w:tblCellMar>
      </w:tblPr>
      <w:tblGrid>
        <w:gridCol w:w="620"/>
        <w:gridCol w:w="549"/>
        <w:gridCol w:w="552"/>
        <w:gridCol w:w="856"/>
        <w:gridCol w:w="856"/>
        <w:gridCol w:w="1216"/>
      </w:tblGrid>
      <w:tr>
        <w:trPr/>
        <w:tc>
          <w:tcPr>
            <w:tcW w:w="6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color w:val="000000"/>
                <w:sz w:val="20"/>
              </w:rPr>
            </w:pPr>
            <w:r>
              <w:rPr>
                <w:rFonts w:ascii="Times New Roman;serif" w:hAnsi="Times New Roman;serif"/>
                <w:b/>
                <w:color w:val="000000"/>
                <w:sz w:val="20"/>
              </w:rPr>
              <w:t>(203)</w:t>
            </w:r>
          </w:p>
        </w:tc>
        <w:tc>
          <w:tcPr>
            <w:tcW w:w="29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849-7800</w:t>
            </w:r>
          </w:p>
        </w:tc>
      </w:tr>
      <w:tr>
        <w:trPr/>
        <w:tc>
          <w:tcPr>
            <w:tcW w:w="464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597" w:type="dxa"/>
        <w:jc w:val="left"/>
        <w:tblInd w:w="0" w:type="dxa"/>
        <w:tblLayout w:type="fixed"/>
        <w:tblCellMar>
          <w:top w:w="28" w:type="dxa"/>
          <w:left w:w="28" w:type="dxa"/>
          <w:bottom w:w="28" w:type="dxa"/>
          <w:right w:w="28" w:type="dxa"/>
        </w:tblCellMar>
      </w:tblPr>
      <w:tblGrid>
        <w:gridCol w:w="585"/>
        <w:gridCol w:w="514"/>
        <w:gridCol w:w="520"/>
        <w:gridCol w:w="109"/>
        <w:gridCol w:w="109"/>
        <w:gridCol w:w="109"/>
        <w:gridCol w:w="499"/>
        <w:gridCol w:w="499"/>
        <w:gridCol w:w="501"/>
        <w:gridCol w:w="109"/>
        <w:gridCol w:w="109"/>
        <w:gridCol w:w="109"/>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ind w:left="0" w:right="0" w:firstLine="495"/>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80" w:after="283"/>
        <w:ind w:left="0" w:right="0" w:firstLine="495"/>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 ☐</w:t>
      </w:r>
    </w:p>
    <w:p>
      <w:pPr>
        <w:pStyle w:val="TextBody"/>
        <w:bidi w:val="0"/>
        <w:spacing w:lineRule="auto" w:line="288" w:before="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78" w:type="dxa"/>
        <w:jc w:val="left"/>
        <w:tblInd w:w="0" w:type="dxa"/>
        <w:tblLayout w:type="fixed"/>
        <w:tblCellMar>
          <w:top w:w="28" w:type="dxa"/>
          <w:left w:w="28" w:type="dxa"/>
          <w:bottom w:w="28" w:type="dxa"/>
          <w:right w:w="28" w:type="dxa"/>
        </w:tblCellMar>
      </w:tblPr>
      <w:tblGrid>
        <w:gridCol w:w="695"/>
        <w:gridCol w:w="611"/>
        <w:gridCol w:w="613"/>
        <w:gridCol w:w="125"/>
        <w:gridCol w:w="125"/>
        <w:gridCol w:w="126"/>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bl>
    <w:p>
      <w:pPr>
        <w:pStyle w:val="TextBody"/>
        <w:bidi w:val="0"/>
        <w:spacing w:lineRule="auto" w:line="288" w:before="0" w:after="0"/>
        <w:ind w:left="0" w:right="0" w:firstLine="495"/>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ind w:left="0" w:right="0" w:firstLine="495"/>
        <w:jc w:val="both"/>
        <w:rPr/>
      </w:pPr>
      <w:r>
        <w:rPr>
          <w:rFonts w:ascii="Times New Roman;serif" w:hAnsi="Times New Roman;serif"/>
          <w:b w:val="false"/>
          <w:color w:val="000000"/>
          <w:sz w:val="20"/>
        </w:rPr>
        <w:t>Indicate by check mark whether the registrant is a shell company (as defined by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80" w:after="283"/>
        <w:ind w:left="0" w:right="0" w:firstLine="495"/>
        <w:jc w:val="center"/>
        <w:rPr>
          <w:rFonts w:ascii="Times New Roman;serif" w:hAnsi="Times New Roman;serif"/>
          <w:b/>
          <w:color w:val="000000"/>
          <w:sz w:val="20"/>
          <w:u w:val="single"/>
        </w:rPr>
      </w:pPr>
      <w:r>
        <w:rPr>
          <w:rFonts w:ascii="Times New Roman;serif" w:hAnsi="Times New Roman;serif"/>
          <w:b/>
          <w:color w:val="000000"/>
          <w:sz w:val="20"/>
          <w:u w:val="single"/>
        </w:rPr>
        <w:t>Applicable Only To Corporate Issuers</w:t>
      </w:r>
    </w:p>
    <w:p>
      <w:pPr>
        <w:pStyle w:val="TextBody"/>
        <w:bidi w:val="0"/>
        <w:spacing w:lineRule="auto" w:line="288" w:before="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Number of shares of Common Stock outstanding as of the close of business on July 24, 2026: 44,109,901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[This Page Intentionally Left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EMCOR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85"/>
        <w:gridCol w:w="424"/>
        <w:gridCol w:w="424"/>
        <w:gridCol w:w="2789"/>
        <w:gridCol w:w="2722"/>
        <w:gridCol w:w="2742"/>
        <w:gridCol w:w="180"/>
        <w:gridCol w:w="180"/>
        <w:gridCol w:w="259"/>
      </w:tblGrid>
      <w:tr>
        <w:trPr/>
        <w:tc>
          <w:tcPr>
            <w:tcW w:w="48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6">
              <w:r>
                <w:rPr>
                  <w:rStyle w:val="InternetLink"/>
                  <w:rFonts w:ascii="Times New Roman;serif" w:hAnsi="Times New Roman;serif"/>
                  <w:b/>
                  <w:color w:val="0000FF"/>
                  <w:sz w:val="20"/>
                  <w:u w:val="single"/>
                </w:rPr>
                <w:t>PART I. - Financial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9">
              <w:r>
                <w:rPr>
                  <w:rStyle w:val="InternetLink"/>
                  <w:rFonts w:ascii="Times New Roman;serif" w:hAnsi="Times New Roman;serif"/>
                  <w:b w:val="false"/>
                  <w:color w:val="0000FF"/>
                  <w:sz w:val="20"/>
                  <w:u w:val="single"/>
                </w:rPr>
                <w:t>Financial Statements.</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22">
              <w:r>
                <w:rPr>
                  <w:rStyle w:val="InternetLink"/>
                  <w:rFonts w:ascii="Times New Roman;serif" w:hAnsi="Times New Roman;serif"/>
                  <w:b w:val="false"/>
                  <w:color w:val="0000FF"/>
                  <w:sz w:val="20"/>
                  <w:u w:val="single"/>
                </w:rPr>
                <w:t>Consolidated Balance Sheets - as of June 30, 2026 and December 31,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22">
              <w:r>
                <w:rPr>
                  <w:rStyle w:val="InternetLink"/>
                  <w:rFonts w:ascii="Times New Roman;serif" w:hAnsi="Times New Roman;serif"/>
                  <w:b w:val="false"/>
                  <w:color w:val="0000FF"/>
                  <w:sz w:val="20"/>
                  <w:u w:val="single"/>
                </w:rPr>
                <w:t>1</w:t>
              </w:r>
            </w:hyperlink>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25">
              <w:r>
                <w:rPr>
                  <w:rStyle w:val="InternetLink"/>
                  <w:rFonts w:ascii="Times New Roman;serif" w:hAnsi="Times New Roman;serif"/>
                  <w:b w:val="false"/>
                  <w:color w:val="0000FF"/>
                  <w:sz w:val="20"/>
                  <w:u w:val="single"/>
                </w:rPr>
                <w:t>Condensed Consolidated Statements of Operations - three and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25">
              <w:r>
                <w:rPr>
                  <w:rStyle w:val="InternetLink"/>
                  <w:rFonts w:ascii="Times New Roman;serif" w:hAnsi="Times New Roman;serif"/>
                  <w:b w:val="false"/>
                  <w:color w:val="0000FF"/>
                  <w:sz w:val="20"/>
                  <w:u w:val="single"/>
                </w:rPr>
                <w:t>2</w:t>
              </w:r>
            </w:hyperlink>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28">
              <w:r>
                <w:rPr>
                  <w:rStyle w:val="InternetLink"/>
                  <w:rFonts w:ascii="Times New Roman;serif" w:hAnsi="Times New Roman;serif"/>
                  <w:b w:val="false"/>
                  <w:color w:val="0000FF"/>
                  <w:sz w:val="20"/>
                  <w:u w:val="single"/>
                </w:rPr>
                <w:t>Condensed Consolidated Statements of Comprehensive Income - three and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28">
              <w:r>
                <w:rPr>
                  <w:rStyle w:val="InternetLink"/>
                  <w:rFonts w:ascii="Times New Roman;serif" w:hAnsi="Times New Roman;serif"/>
                  <w:b w:val="false"/>
                  <w:color w:val="0000FF"/>
                  <w:sz w:val="20"/>
                  <w:u w:val="single"/>
                </w:rPr>
                <w:t>3</w:t>
              </w:r>
            </w:hyperlink>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31">
              <w:r>
                <w:rPr>
                  <w:rStyle w:val="InternetLink"/>
                  <w:rFonts w:ascii="Times New Roman;serif" w:hAnsi="Times New Roman;serif"/>
                  <w:b w:val="false"/>
                  <w:color w:val="0000FF"/>
                  <w:sz w:val="20"/>
                  <w:u w:val="single"/>
                </w:rPr>
                <w:t>Condensed Consolidated Statements of Cash Flows -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31">
              <w:r>
                <w:rPr>
                  <w:rStyle w:val="InternetLink"/>
                  <w:rFonts w:ascii="Times New Roman;serif" w:hAnsi="Times New Roman;serif"/>
                  <w:b w:val="false"/>
                  <w:color w:val="0000FF"/>
                  <w:sz w:val="20"/>
                  <w:u w:val="single"/>
                </w:rPr>
                <w:t>4</w:t>
              </w:r>
            </w:hyperlink>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217">
              <w:r>
                <w:rPr>
                  <w:rStyle w:val="InternetLink"/>
                  <w:rFonts w:ascii="Times New Roman;serif" w:hAnsi="Times New Roman;serif"/>
                  <w:b w:val="false"/>
                  <w:color w:val="0000FF"/>
                  <w:sz w:val="20"/>
                  <w:u w:val="single"/>
                </w:rPr>
                <w:t>Condensed Consolidated Statements of Equity - three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1217">
              <w:r>
                <w:rPr>
                  <w:rStyle w:val="InternetLink"/>
                  <w:rFonts w:ascii="Times New Roman;serif" w:hAnsi="Times New Roman;serif"/>
                  <w:b w:val="false"/>
                  <w:color w:val="0000FF"/>
                  <w:sz w:val="20"/>
                  <w:u w:val="single"/>
                </w:rPr>
                <w:t>5</w:t>
              </w:r>
            </w:hyperlink>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34">
              <w:r>
                <w:rPr>
                  <w:rStyle w:val="InternetLink"/>
                  <w:rFonts w:ascii="Times New Roman;serif" w:hAnsi="Times New Roman;serif"/>
                  <w:b w:val="false"/>
                  <w:color w:val="0000FF"/>
                  <w:sz w:val="20"/>
                  <w:u w:val="single"/>
                </w:rPr>
                <w:t>Condensed Consolidated Statements of Equity - six months ended June 30, 2026 and 2025</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34">
              <w:r>
                <w:rPr>
                  <w:rStyle w:val="InternetLink"/>
                  <w:rFonts w:ascii="Times New Roman;serif" w:hAnsi="Times New Roman;serif"/>
                  <w:b w:val="false"/>
                  <w:color w:val="0000FF"/>
                  <w:sz w:val="20"/>
                  <w:u w:val="single"/>
                </w:rPr>
                <w:t>6</w:t>
              </w:r>
            </w:hyperlink>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37">
              <w:r>
                <w:rPr>
                  <w:rStyle w:val="InternetLink"/>
                  <w:rFonts w:ascii="Times New Roman;serif" w:hAnsi="Times New Roman;serif"/>
                  <w:b w:val="false"/>
                  <w:color w:val="0000FF"/>
                  <w:sz w:val="20"/>
                  <w:u w:val="single"/>
                </w:rPr>
                <w:t>Notes to Consolidated 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37">
              <w:r>
                <w:rPr>
                  <w:rStyle w:val="InternetLink"/>
                  <w:rFonts w:ascii="Times New Roman;serif" w:hAnsi="Times New Roman;serif"/>
                  <w:b w:val="false"/>
                  <w:color w:val="0000FF"/>
                  <w:sz w:val="20"/>
                  <w:u w:val="single"/>
                </w:rPr>
                <w:t>7</w:t>
              </w:r>
            </w:hyperlink>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88">
              <w:r>
                <w:rPr>
                  <w:rStyle w:val="InternetLink"/>
                  <w:rFonts w:ascii="Times New Roman;serif" w:hAnsi="Times New Roman;serif"/>
                  <w:b w:val="false"/>
                  <w:color w:val="0000FF"/>
                  <w:sz w:val="20"/>
                  <w:u w:val="single"/>
                </w:rPr>
                <w:t>31</w:t>
              </w:r>
            </w:hyperlink>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06">
              <w:r>
                <w:rPr>
                  <w:rStyle w:val="InternetLink"/>
                  <w:rFonts w:ascii="Times New Roman;serif" w:hAnsi="Times New Roman;serif"/>
                  <w:b w:val="false"/>
                  <w:color w:val="0000FF"/>
                  <w:sz w:val="20"/>
                  <w:u w:val="singl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106">
              <w:r>
                <w:rPr>
                  <w:rStyle w:val="InternetLink"/>
                  <w:rFonts w:ascii="Times New Roman;serif" w:hAnsi="Times New Roman;serif"/>
                  <w:b w:val="false"/>
                  <w:color w:val="0000FF"/>
                  <w:sz w:val="20"/>
                  <w:u w:val="single"/>
                </w:rPr>
                <w:t>41</w:t>
              </w:r>
            </w:hyperlink>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09">
              <w:r>
                <w:rPr>
                  <w:rStyle w:val="InternetLink"/>
                  <w:rFonts w:ascii="Times New Roman;serif" w:hAnsi="Times New Roman;serif"/>
                  <w:b w:val="false"/>
                  <w:color w:val="0000FF"/>
                  <w:sz w:val="20"/>
                  <w:u w:val="singl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109">
              <w:r>
                <w:rPr>
                  <w:rStyle w:val="InternetLink"/>
                  <w:rFonts w:ascii="Times New Roman;serif" w:hAnsi="Times New Roman;serif"/>
                  <w:b w:val="false"/>
                  <w:color w:val="0000FF"/>
                  <w:sz w:val="20"/>
                  <w:u w:val="single"/>
                </w:rPr>
                <w:t>42</w:t>
              </w:r>
            </w:hyperlink>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12">
              <w:r>
                <w:rPr>
                  <w:rStyle w:val="InternetLink"/>
                  <w:rFonts w:ascii="Times New Roman;serif" w:hAnsi="Times New Roman;serif"/>
                  <w:b/>
                  <w:color w:val="0000FF"/>
                  <w:sz w:val="20"/>
                  <w:u w:val="single"/>
                </w:rPr>
                <w:t>PART II. - Other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15">
              <w:r>
                <w:rPr>
                  <w:rStyle w:val="InternetLink"/>
                  <w:rFonts w:ascii="Times New Roman;serif" w:hAnsi="Times New Roman;serif"/>
                  <w:b w:val="false"/>
                  <w:color w:val="0000FF"/>
                  <w:sz w:val="20"/>
                  <w:u w:val="singl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115">
              <w:r>
                <w:rPr>
                  <w:rStyle w:val="InternetLink"/>
                  <w:rFonts w:ascii="Times New Roman;serif" w:hAnsi="Times New Roman;serif"/>
                  <w:b w:val="false"/>
                  <w:color w:val="0000FF"/>
                  <w:sz w:val="20"/>
                  <w:u w:val="single"/>
                </w:rPr>
                <w:t>43</w:t>
              </w:r>
            </w:hyperlink>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18">
              <w:r>
                <w:rPr>
                  <w:rStyle w:val="InternetLink"/>
                  <w:rFonts w:ascii="Times New Roman;serif" w:hAnsi="Times New Roman;serif"/>
                  <w:b w:val="false"/>
                  <w:color w:val="0000FF"/>
                  <w:sz w:val="20"/>
                  <w:u w:val="single"/>
                </w:rPr>
                <w:t>Unregistered Sales of Equity Securities and Use of Proceeds.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118">
              <w:r>
                <w:rPr>
                  <w:rStyle w:val="InternetLink"/>
                  <w:rFonts w:ascii="Times New Roman;serif" w:hAnsi="Times New Roman;serif"/>
                  <w:b w:val="false"/>
                  <w:color w:val="0000FF"/>
                  <w:sz w:val="20"/>
                  <w:u w:val="single"/>
                </w:rPr>
                <w:t>43</w:t>
              </w:r>
            </w:hyperlink>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21">
              <w:r>
                <w:rPr>
                  <w:rStyle w:val="InternetLink"/>
                  <w:rFonts w:ascii="Times New Roman;serif" w:hAnsi="Times New Roman;serif"/>
                  <w:b w:val="false"/>
                  <w:color w:val="0000FF"/>
                  <w:sz w:val="20"/>
                  <w:u w:val="single"/>
                </w:rPr>
                <w:t>Mine Safety Disclosures.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121">
              <w:r>
                <w:rPr>
                  <w:rStyle w:val="InternetLink"/>
                  <w:rFonts w:ascii="Times New Roman;serif" w:hAnsi="Times New Roman;serif"/>
                  <w:b w:val="false"/>
                  <w:color w:val="0000FF"/>
                  <w:sz w:val="20"/>
                  <w:u w:val="single"/>
                </w:rPr>
                <w:t>43</w:t>
              </w:r>
            </w:hyperlink>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24">
              <w:r>
                <w:rPr>
                  <w:rStyle w:val="InternetLink"/>
                  <w:rFonts w:ascii="Times New Roman;serif" w:hAnsi="Times New Roman;serif"/>
                  <w:b w:val="false"/>
                  <w:color w:val="0000FF"/>
                  <w:sz w:val="20"/>
                  <w:u w:val="singl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124">
              <w:r>
                <w:rPr>
                  <w:rStyle w:val="InternetLink"/>
                  <w:rFonts w:ascii="Times New Roman;serif" w:hAnsi="Times New Roman;serif"/>
                  <w:b w:val="false"/>
                  <w:color w:val="0000FF"/>
                  <w:sz w:val="20"/>
                  <w:u w:val="single"/>
                </w:rPr>
                <w:t>43</w:t>
              </w:r>
            </w:hyperlink>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93076b09554d308008913ae4b82887_127">
              <w:r>
                <w:rPr>
                  <w:rStyle w:val="InternetLink"/>
                  <w:rFonts w:ascii="Times New Roman;serif" w:hAnsi="Times New Roman;serif"/>
                  <w:b w:val="false"/>
                  <w:color w:val="0000FF"/>
                  <w:sz w:val="20"/>
                  <w:u w:val="single"/>
                </w:rPr>
                <w:t>Exhibits.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93076b09554d308008913ae4b82887_127">
              <w:r>
                <w:rPr>
                  <w:rStyle w:val="InternetLink"/>
                  <w:rFonts w:ascii="Times New Roman;serif" w:hAnsi="Times New Roman;serif"/>
                  <w:b w:val="false"/>
                  <w:color w:val="0000FF"/>
                  <w:sz w:val="20"/>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0" w:after="160"/>
        <w:ind w:left="0" w:right="0" w:firstLine="27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You can identify these statements by the fact that they do not relate strictly to historical or current facts. They generally contain words such as “anticipate,” “estimate,” “expect,” “project,” “intend,” “plan,” “believe,” “may,” “can,” “could,” “might,” variations of such wording and other words or phrases of similar meaning. Forward-looking statements in this report include discussions of our future operating or financial performance and other forward-looking commentary regarding aspects of our business, including market share growth, gross profit, remaining performance obligations, project mix, projects with varying profit margins and contractual terms, the financial impact and integration of acquisitions, selling, general and administrative expenses, anticipated dividend payments, our ability to maintain a strong safety record, and trends in our business, and other characterizations of future events or circumstances, such as the effects of supply chain disruptions, delays, and price fluctuations, including those potentially caused by tariffs. Each forward-looking statement included in this report is subject to risks and uncertainties, including those identified in the “Management’s Discussion and Analysis of Financial Condition and Results of Operations” section, and other sections of this report, and in our Form 10-K for the year ended December 31, 2025, including, without limitation, the “Risk Factors” section of such Form 10-K. Applicable risks and uncertainties include, but are not limited to: </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 xml:space="preserve">adverse effects of general economic conditions; </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 xml:space="preserve">domestic and international political developments and/or conflicts; </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 xml:space="preserve">changes in the specific markets for EMCOR’s services;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adverse business conditions, including the weakness of the sectors from which we generate revenues, scarcity of skilled labor, productivity challenges, the nature and extent of supply chain disruptions impacting availability and pricing of materials, and inflationary trends more generally, including fluctuations in energy costs; </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the impact of legislation and/or government regulations;</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 xml:space="preserve">changes in foreign trade policy, including the effect of tariffs; </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changes in interest rates;</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 xml:space="preserve">the lack of availability of adequate levels of surety bonding; </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 xml:space="preserve">increased competition; </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the impact of legal proceedings, claims, lawsuits, or governmental investigations;</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 xml:space="preserve">unfavorable developments in the mix of our business; and </w:t>
      </w:r>
    </w:p>
    <w:p>
      <w:pPr>
        <w:pStyle w:val="TextBody"/>
        <w:bidi w:val="0"/>
        <w:spacing w:lineRule="auto" w:line="288" w:before="120" w:after="283"/>
        <w:ind w:left="0" w:right="0" w:firstLine="90"/>
        <w:jc w:val="both"/>
        <w:rPr/>
      </w:pPr>
      <w:r>
        <w:rPr>
          <w:color w:val="000000"/>
        </w:rPr>
        <w:t>•</w:t>
      </w:r>
      <w:r>
        <w:rPr>
          <w:rFonts w:ascii="Times New Roman;serif" w:hAnsi="Times New Roman;serif"/>
          <w:b w:val="false"/>
          <w:color w:val="000000"/>
          <w:sz w:val="20"/>
        </w:rPr>
        <w:t xml:space="preserve">other factors discussed elsewhere in this report.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Such risks and uncertainties could cause actual results to differ materially from those that might be anticipated from, or projected or implied by, our forward-looking statements. Accordingly, these statements do not guarantee future performance or events. The forward-looking statements contained in this report speak only as of the filing date of this report. We undertake no obligation to update any forward-looking statements unless required by law. However, any further disclosures made on related subjects in our subsequent reports filed with the Securities and Exchange Commission (the “SEC”) should be consulted. We caution investors not to place undue reliance on forward-looking statements, due to their inherent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680"/>
        <w:gridCol w:w="2229"/>
        <w:gridCol w:w="2226"/>
        <w:gridCol w:w="211"/>
        <w:gridCol w:w="1081"/>
        <w:gridCol w:w="109"/>
        <w:gridCol w:w="109"/>
        <w:gridCol w:w="109"/>
        <w:gridCol w:w="109"/>
        <w:gridCol w:w="211"/>
        <w:gridCol w:w="976"/>
        <w:gridCol w:w="155"/>
      </w:tblGrid>
      <w:tr>
        <w:trPr/>
        <w:tc>
          <w:tcPr>
            <w:tcW w:w="2680"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credit losses of $25,008 and $22,757,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5,937,345 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1,108,828 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9,291,399 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1,227,428 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 and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4,864,940 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5,616,418 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EMCOR Group, Inc. 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$0.10 par value, 1,000,000 shares authorized, zero issued and outstanding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200,000,000 shares authorized, 61,304,446 and 61,252,599 shares issued,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surplus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17,064,399 and 16,732,232 shares,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(2,431,861)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EMCOR Group, Inc. stockholders’ equity</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3,673,944 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4,079,944 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3,674,981 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9,291,399 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data)(Unaudited)</w:t>
      </w:r>
    </w:p>
    <w:tbl>
      <w:tblPr>
        <w:tblW w:w="9945" w:type="dxa"/>
        <w:jc w:val="center"/>
        <w:tblInd w:w="0" w:type="dxa"/>
        <w:tblLayout w:type="fixed"/>
        <w:tblCellMar>
          <w:top w:w="28" w:type="dxa"/>
          <w:left w:w="28" w:type="dxa"/>
          <w:bottom w:w="28" w:type="dxa"/>
          <w:right w:w="28" w:type="dxa"/>
        </w:tblCellMar>
      </w:tblPr>
      <w:tblGrid>
        <w:gridCol w:w="1351"/>
        <w:gridCol w:w="1186"/>
        <w:gridCol w:w="119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8,171,772 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1,556,489 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declared per common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18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thousands)(Unaudited)        </w:t>
      </w:r>
    </w:p>
    <w:tbl>
      <w:tblPr>
        <w:tblW w:w="9494" w:type="dxa"/>
        <w:jc w:val="center"/>
        <w:tblInd w:w="0" w:type="dxa"/>
        <w:tblLayout w:type="fixed"/>
        <w:tblCellMar>
          <w:top w:w="28" w:type="dxa"/>
          <w:left w:w="28" w:type="dxa"/>
          <w:bottom w:w="28" w:type="dxa"/>
          <w:right w:w="28" w:type="dxa"/>
        </w:tblCellMar>
      </w:tblPr>
      <w:tblGrid>
        <w:gridCol w:w="1403"/>
        <w:gridCol w:w="1233"/>
        <w:gridCol w:w="124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Changes in post-retirement plans </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403,690 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313,856 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709,170 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560,352 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(1)Net of tax of $0.2 million and $0.3 million for the three and six months ended June 30, 2025,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pPr>
      <w:r>
        <w:rPr>
          <w:rFonts w:ascii="Times New Roman;serif" w:hAnsi="Times New Roman;serif"/>
          <w:b w:val="false"/>
          <w:i/>
          <w:color w:val="000000"/>
          <w:sz w:val="20"/>
        </w:rPr>
        <w:t>(In thousands)(Unaudited)</w:t>
      </w:r>
      <w:r>
        <w:rPr>
          <w:color w:val="000000"/>
        </w:rPr>
        <w:t> </w:t>
      </w:r>
    </w:p>
    <w:tbl>
      <w:tblPr>
        <w:tblW w:w="9773" w:type="dxa"/>
        <w:jc w:val="left"/>
        <w:tblInd w:w="0" w:type="dxa"/>
        <w:tblLayout w:type="fixed"/>
        <w:tblCellMar>
          <w:top w:w="28" w:type="dxa"/>
          <w:left w:w="28" w:type="dxa"/>
          <w:bottom w:w="28" w:type="dxa"/>
          <w:right w:w="28" w:type="dxa"/>
        </w:tblCellMar>
      </w:tblPr>
      <w:tblGrid>
        <w:gridCol w:w="2572"/>
        <w:gridCol w:w="2261"/>
        <w:gridCol w:w="2276"/>
        <w:gridCol w:w="211"/>
        <w:gridCol w:w="826"/>
        <w:gridCol w:w="109"/>
        <w:gridCol w:w="109"/>
        <w:gridCol w:w="109"/>
        <w:gridCol w:w="109"/>
        <w:gridCol w:w="211"/>
        <w:gridCol w:w="826"/>
        <w:gridCol w:w="154"/>
      </w:tblGrid>
      <w:tr>
        <w:trPr/>
        <w:tc>
          <w:tcPr>
            <w:tcW w:w="2572"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 operating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identifiable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Excess tax benefits from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reconciling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excluding the effect of businesses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acquisitions of businesses,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or disposal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(938,825)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finance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stockholders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settlements of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contingent consideration arrangements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(231,125)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cash equivalents, and restricted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Decrease in cash, cash equivalents, and restricted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(853,234)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cash equivalents, and restricted cash at beginning of year </w:t>
            </w:r>
            <w:r>
              <w:rPr>
                <w:rFonts w:ascii="Times New Roman;serif" w:hAnsi="Times New Roman;serif"/>
                <w:b/>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cash equivalents, and restricted cash at end of period </w:t>
            </w:r>
            <w:r>
              <w:rPr>
                <w:rFonts w:ascii="Times New Roman;serif" w:hAnsi="Times New Roman;serif"/>
                <w:b/>
                <w:color w:val="000000"/>
                <w:sz w:val="13"/>
              </w:rPr>
              <w:t>(2)</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_________</w:t>
      </w:r>
    </w:p>
    <w:p>
      <w:pPr>
        <w:pStyle w:val="TextBody"/>
        <w:bidi w:val="0"/>
        <w:spacing w:lineRule="auto" w:line="288" w:before="12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(1)Includes $0.8 million of restricted cash classified as “Prepaid expenses and other” in the Consolidated Balance Sheet as of December 31, 2024.</w:t>
      </w:r>
    </w:p>
    <w:p>
      <w:pPr>
        <w:pStyle w:val="TextBody"/>
        <w:bidi w:val="0"/>
        <w:spacing w:lineRule="auto" w:line="288" w:before="12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(2)Includes $1.2 million of restricted cash classified as “Prepaid expenses and other” in the Consolidated Balance Sheet as of June 30, 2025.</w:t>
      </w:r>
    </w:p>
    <w:p>
      <w:pPr>
        <w:pStyle w:val="TextBody"/>
        <w:bidi w:val="0"/>
        <w:spacing w:before="60" w:after="283"/>
        <w:jc w:val="both"/>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thousands)(Unaudited)        </w:t>
      </w:r>
    </w:p>
    <w:tbl>
      <w:tblPr>
        <w:tblW w:w="11225" w:type="dxa"/>
        <w:jc w:val="center"/>
        <w:tblInd w:w="0" w:type="dxa"/>
        <w:tblLayout w:type="fixed"/>
        <w:tblCellMar>
          <w:top w:w="28" w:type="dxa"/>
          <w:left w:w="28" w:type="dxa"/>
          <w:bottom w:w="28" w:type="dxa"/>
          <w:right w:w="28" w:type="dxa"/>
        </w:tblCellMar>
      </w:tblPr>
      <w:tblGrid>
        <w:gridCol w:w="782"/>
        <w:gridCol w:w="305"/>
        <w:gridCol w:w="264"/>
        <w:gridCol w:w="211"/>
        <w:gridCol w:w="976"/>
        <w:gridCol w:w="109"/>
        <w:gridCol w:w="109"/>
        <w:gridCol w:w="109"/>
        <w:gridCol w:w="109"/>
        <w:gridCol w:w="211"/>
        <w:gridCol w:w="466"/>
        <w:gridCol w:w="109"/>
        <w:gridCol w:w="109"/>
        <w:gridCol w:w="109"/>
        <w:gridCol w:w="109"/>
        <w:gridCol w:w="211"/>
        <w:gridCol w:w="721"/>
        <w:gridCol w:w="109"/>
        <w:gridCol w:w="109"/>
        <w:gridCol w:w="109"/>
        <w:gridCol w:w="109"/>
        <w:gridCol w:w="211"/>
        <w:gridCol w:w="736"/>
        <w:gridCol w:w="109"/>
        <w:gridCol w:w="109"/>
        <w:gridCol w:w="109"/>
        <w:gridCol w:w="109"/>
        <w:gridCol w:w="211"/>
        <w:gridCol w:w="976"/>
        <w:gridCol w:w="109"/>
        <w:gridCol w:w="109"/>
        <w:gridCol w:w="109"/>
        <w:gridCol w:w="109"/>
        <w:gridCol w:w="211"/>
        <w:gridCol w:w="991"/>
        <w:gridCol w:w="109"/>
        <w:gridCol w:w="109"/>
        <w:gridCol w:w="109"/>
        <w:gridCol w:w="109"/>
        <w:gridCol w:w="242"/>
        <w:gridCol w:w="707"/>
        <w:gridCol w:w="177"/>
      </w:tblGrid>
      <w:tr>
        <w:trPr/>
        <w:tc>
          <w:tcPr>
            <w:tcW w:w="7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EMCOR Group, Inc.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br/>
              <w:t>surplus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 xml:space="preserve">Accumulated other comprehensive loss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br/>
              <w:t>interests</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March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2,951,928 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(79,708)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5,007,257 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(2,071,628)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withholding for common stock issued under share-based compensation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dividends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June 30, 2025</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3,053,572 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(68,012)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5,298,205 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(2,276,283)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1,971 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March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3,867,576 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6,293,411 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(2,519,542)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withholding for common stock issued under share-based compensation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dividends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4,079,944 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98,117 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6,679,305 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(2,697,204)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1,037 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pPr>
      <w:r>
        <w:rPr>
          <w:color w:val="000000"/>
        </w:rPr>
        <w:t> </w:t>
      </w:r>
      <w:r>
        <w:rPr>
          <w:rFonts w:ascii="Times New Roman;serif" w:hAnsi="Times New Roman;serif"/>
          <w:b w:val="false"/>
          <w:color w:val="000000"/>
          <w:sz w:val="24"/>
        </w:rPr>
        <w:t>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(1)Represents cumulative foreign currency translation adjustments and post-retirement liability adjustments.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For the six months ended June 30, 2026 and 2025</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thousands)(Unaudited)        </w:t>
      </w:r>
    </w:p>
    <w:tbl>
      <w:tblPr>
        <w:tblW w:w="11330" w:type="dxa"/>
        <w:jc w:val="center"/>
        <w:tblInd w:w="0" w:type="dxa"/>
        <w:tblLayout w:type="fixed"/>
        <w:tblCellMar>
          <w:top w:w="28" w:type="dxa"/>
          <w:left w:w="28" w:type="dxa"/>
          <w:bottom w:w="28" w:type="dxa"/>
          <w:right w:w="28" w:type="dxa"/>
        </w:tblCellMar>
      </w:tblPr>
      <w:tblGrid>
        <w:gridCol w:w="824"/>
        <w:gridCol w:w="263"/>
        <w:gridCol w:w="264"/>
        <w:gridCol w:w="211"/>
        <w:gridCol w:w="976"/>
        <w:gridCol w:w="109"/>
        <w:gridCol w:w="109"/>
        <w:gridCol w:w="109"/>
        <w:gridCol w:w="109"/>
        <w:gridCol w:w="211"/>
        <w:gridCol w:w="466"/>
        <w:gridCol w:w="109"/>
        <w:gridCol w:w="109"/>
        <w:gridCol w:w="109"/>
        <w:gridCol w:w="109"/>
        <w:gridCol w:w="211"/>
        <w:gridCol w:w="826"/>
        <w:gridCol w:w="109"/>
        <w:gridCol w:w="109"/>
        <w:gridCol w:w="109"/>
        <w:gridCol w:w="109"/>
        <w:gridCol w:w="211"/>
        <w:gridCol w:w="736"/>
        <w:gridCol w:w="109"/>
        <w:gridCol w:w="109"/>
        <w:gridCol w:w="109"/>
        <w:gridCol w:w="109"/>
        <w:gridCol w:w="211"/>
        <w:gridCol w:w="976"/>
        <w:gridCol w:w="109"/>
        <w:gridCol w:w="109"/>
        <w:gridCol w:w="109"/>
        <w:gridCol w:w="109"/>
        <w:gridCol w:w="211"/>
        <w:gridCol w:w="991"/>
        <w:gridCol w:w="109"/>
        <w:gridCol w:w="109"/>
        <w:gridCol w:w="109"/>
        <w:gridCol w:w="109"/>
        <w:gridCol w:w="242"/>
        <w:gridCol w:w="707"/>
        <w:gridCol w:w="177"/>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EMCOR Group, Inc.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br/>
              <w:t>surplus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5"/>
              </w:rPr>
              <w:t xml:space="preserve">Accumulated other comprehensive loss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br/>
              <w:t>interests</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December 31, 2024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2,938,694 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(85,527)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4,778,061 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(1,852,964)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withholding for common stock issued under share-based compensation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dividends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Balance, June 30,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3,053,572 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97,079 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(68,012)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5,298,205 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(2,276,283)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(2,431,861)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withholding for common stock issued under share-based compensation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dividends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Balance,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4,079,944 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98,117 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6,679,305 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(2,697,204)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1,037 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pPr>
      <w:r>
        <w:rPr>
          <w:color w:val="000000"/>
        </w:rPr>
        <w:t> </w:t>
      </w:r>
      <w:r>
        <w:rPr>
          <w:rFonts w:ascii="Times New Roman;serif" w:hAnsi="Times New Roman;serif"/>
          <w:b w:val="false"/>
          <w:color w:val="000000"/>
          <w:sz w:val="24"/>
        </w:rPr>
        <w:t>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(1)Represents cumulative foreign currency translation adjustments and post-retirement liability adjustments.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have been prepared in accordance with instructions to Form 10-Q and Rule 10-01 of Regulation S-X. Consequently, certain information and note disclosures normally included in financial statements prepared in accordance with accounting principles generally accepted in the United States (“U.S. GAAP”) have been condensed or omitted.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References to the “Company,” “EMCOR,” “we,” “us,” “our,” and similar words refer to EMCOR Group, Inc. and its consolidated subsidiaries unless the context indicates otherwise. Readers of this report should refer to the consolidated financial statements and the notes thereto included in our latest Annual Report on Form 10-K filed with the Securities and Exchange Commission.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our opinion, the accompanying unaudited consolidated financial statements contain all adjustments (consisting only of those of a normal recurring nature) necessary to present fairly our financial position and the results of our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companies acquired have been included in our results of operations from the date of their respective acquisition by us.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 2025, we sold EMCOR (UK) Limited and EMCOR Group (UK) plc, which collectively represented our United Kingdom building services segment (collectively, “EMCOR UK”).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the results to be expected for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2 - New Accounting Pronouncements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issued an Accounting Standards Update (“ASU”), which requires disaggregated disclosures, in the notes to the financial statements, about certain income statement expense line items on an interim and annual basis. This guidance requires entities to provide more detailed information about purchases of inventory, employee compensation, depreciation expense, intangible asset amortization, and selling expenses. Such guidance, which is required to be applied prospectively, is effective for fiscal years beginning after December 15, 2026, and interim periods within fiscal years beginning after December 15, 2027, although early adoption and retrospective application is permitted. While the adoption of this ASU will not have an impact on our financial position and/or results of operations, we are currently evaluating the impact on our financial statement disclosures, including the processes and controls around the collection of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3 - Revenue from Contracts with Customers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when it transfers promised goods or services to customers in an amount that reflects the consideration to which we expect to be entitled in exchange for those goods or services by applying the following five step model:</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(1) Identify the contract with a customer</w:t>
      </w:r>
    </w:p>
    <w:p>
      <w:pPr>
        <w:pStyle w:val="TextBody"/>
        <w:bidi w:val="0"/>
        <w:spacing w:lineRule="auto" w:line="288" w:before="18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contract with a customer exists when: (a) the parties have approved the contract and are committed to perform their respective obligations, (b) the rights of the parties can be identified, (c) payment terms can be identified, (d) the arrangement has commercial substance, and (e) collectability of consideration is probable. Judgment is required when determining if the contractual criteria are met, specifically in the earlier stages of a project when a formally executed contract may not yet exist. In these situations, the Company evaluates all relevant facts and circumstances, including the existence of other forms of documentation or historical experience with our customers that may indicate a contractual agreement is in place and revenue should be recognized. In determining if the collectability of consideration is probable, the Company considers the customer’s ability and intention to pay such consideration through an evaluation of several factors, including an assessment of the creditworthiness of the customer and our prior collection history with such customer.</w:t>
      </w:r>
    </w:p>
    <w:p>
      <w:pPr>
        <w:pStyle w:val="TextBody"/>
        <w:bidi w:val="0"/>
        <w:spacing w:before="100" w:after="200"/>
        <w:ind w:left="0" w:right="0" w:firstLine="450"/>
        <w:jc w:val="both"/>
        <w:rPr/>
      </w:pPr>
      <w:r>
        <w:rPr/>
      </w:r>
    </w:p>
    <w:p>
      <w:pPr>
        <w:pStyle w:val="TextBody"/>
        <w:bidi w:val="0"/>
        <w:spacing w:before="100" w:after="200"/>
        <w:ind w:left="0" w:right="0" w:firstLine="450"/>
        <w:jc w:val="both"/>
        <w:rPr/>
      </w:pPr>
      <w:r>
        <w:rPr/>
      </w:r>
    </w:p>
    <w:p>
      <w:pPr>
        <w:pStyle w:val="TextBody"/>
        <w:bidi w:val="0"/>
        <w:spacing w:before="100" w:after="20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00" w:after="200"/>
        <w:jc w:val="both"/>
        <w:rPr>
          <w:rFonts w:ascii="Times New Roman;serif" w:hAnsi="Times New Roman;serif"/>
          <w:b/>
          <w:color w:val="000000"/>
          <w:sz w:val="20"/>
        </w:rPr>
      </w:pPr>
      <w:r>
        <w:rPr>
          <w:rFonts w:ascii="Times New Roman;serif" w:hAnsi="Times New Roman;serif"/>
          <w:b/>
          <w:color w:val="000000"/>
          <w:sz w:val="20"/>
        </w:rPr>
        <w:t>NOTE 3 - Revenue from Contracts with Customers (Continued)</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(2) Identify the performance obligations in the contract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contract inception, the Company assesses the goods or services promised in a contract and identifies, as a separate performance obligation, each distinct promise to transfer goods or services to the customer. The identified performance obligations represent the “unit of account” for purposes of determining revenue recognition. In order to properly identify separate performance obligations, the Company applies judgment in determining whether each good or service provided is: (a) capable of being distinct, whereby the customer can benefit from the good or service either on its own or together with other resources that are readily available to the customer, and (b) distinct within the context of the contract, whereby the transfer of the good or service to the customer is separately identifiable from other promises in the contract.</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when assessing performance obligations within a contract, the Company considers the warranty provisions included within such contract. To the extent the warranty terms provide the customer with an additional service, other than assurance that the promised good or service complies with agreed upon specifications, such warranty is accounted for as a separate performance obligation. In determining whether a warranty provides an additional service, the Company considers each warranty provision in comparison to warranty terms which are standard in the industry. </w:t>
      </w:r>
    </w:p>
    <w:p>
      <w:pPr>
        <w:pStyle w:val="TextBody"/>
        <w:bidi w:val="0"/>
        <w:spacing w:lineRule="auto" w:line="288" w:before="16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contracts are often modified through change orders to account for changes in the scope and price of the goods or services we are providing. Although the Company evaluates each change order to determine whether such modification creates a separate performance obligation, the majority of our change orders are for goods or services that are not distinct within the context of our original contract and, therefore, are not treated as separate performance obligations.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(3) Determine the transaction price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transaction price represents the amount of consideration to which the Company expects to be entitled in exchange for transferring promised goods or services to our customers. The consideration promised within a contract may include fixed amounts, variable amounts, or both. To the extent the performance obligation includes variable consideration, including contract bonuses and penalties that can either increase or decrease the transaction price, the Company estimates the amount of variable consideration to be included in the transaction price utilizing one of two prescribed methods, depending on which method better predicts the amount of consideration to which the entity will be entitled. Such methods include: (a) the expected value method, whereby the amount of variable consideration to be recognized represents the sum of probability-weighted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typically utilized in situations where a contract contains a large number of possible outcomes while the most likely amount method is typically utilized in situations where a contract has only two possible outcomes.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Variable consideration is included in the transaction price only to the extent it is probable, in the Company’s judgment, that a significant future reversal in the amount of cumulative revenue recognized under the contract will not occur when the uncertainty associated with the variable consideration is subsequently resolved. This threshold is referred to as the variable consideration constraint. In assessing whether to apply the variable consideration constraint, the Company considers if factors exist that could increase the likelihood or the magnitude of a potential reversal of revenue, including, but not limited to, whether: (a) the amount of consideration is highly susceptible to factors outside of the Company’s influence, such as the actions of third parties, (b) the uncertainty surrounding the amount of consideration is not expected to be resolved for a long period of time, (c) the Company’s experience with similar types of contracts is limited or that experience has limited predictive value, (d) the Company has a practice of either offering a broad range of price concessions or changing the payment terms and conditions of similar contracts in similar circumstances, and (e) the contract has a large number and broad range of possible consideration amounts.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Pending change orders represent one of the most common forms of variable consideration included within contract value and typically represent contract modifications for which a change in scope has been authorized or acknowledged by our customer but the final adjustment to contract price is yet to be negotiated. In estimating the transaction price for pending change orders, the Company considers all relevant facts, including documented correspondence with the customer regarding acknowledgment of and/or agreement with the modification, as well as historical experience with the customer or similar contractual circumstances. Based upon this assessment, the Company estimates the transaction price, including whether the variable consideration constraint should be applied.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NOTE 3 - Revenue from Contracts with Customers (Continued)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claims are another form of variable consideration which is common within our industry. Claim amounts represent revenue that has been recognized for contract modifications that are not submitted or are in dispute as to both scope and price. In estimating the transaction price for claims, the Company considers all relevant facts available. However, given the uncertainty surrounding claims, including the potential long-term nature of dispute resolution and the broad range of possible consideration amounts, there is an increased likelihood that any additional contract revenue associated with contract claims is constrained. The resolution of claims involves negotiations and, in certain cases, litigation. In the event litigation costs are incurred by us in connection with claims, such litigation costs are expensed as incurred, although we may seek to recover these costs.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some transactions, the receipt of consideration does not match the timing of the transfer of goods or services to the customer. For such contracts, the Company evaluates whether this timing difference represents a financing arrangement within the contract. Although rare, if a contract is determined to contain a significant financing component, the Company adjusts the promised amount of consideration for the effects of the time value of money when determining the transaction price of such contract. Although our customers may retain a portion of the contract price until completion of the project and final contract settlement, these retainage amounts are not considered a significant financing component as the intent of the withheld amounts is to provide the customer with assurance that we will complete our obligations under the contract rather than to provide financing to the customer. In addition, although we may be entitled to advanced payments from our customers on certain contracts, these advanced payments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estimates of transaction prices are recognized on a cumulative catch-up basis in the period in which the revisions to the estimates are made. Such changes in estimates can result in the recognition of revenue in a current period for performance obligations which were satisfied or partially satisfied in prior periods. Such changes in estimates may also result in the reversal of previously recognized revenue if the ultimate outcome differs from the Company’s previous estimate.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(4) Allocate the transaction price to the performance obligations in the contract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contracts that contain multiple performance obligations, the Company allocates the transaction price to each performance obligation based on a relative standalone selling price. The Company determines the standalone selling price based on the price at which the performance obligation would have been sold separately in similar circumstances to similar customers. If the standalone selling price is not observable, the Company estimates the standalone selling price taking into account all available information such as market conditions and internal pricing guidelines. In certain circumstances, the standalone selling price is determined using an expected profit margin on anticipated costs related to the performance obligation.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(5) Recognize revenue as performance obligations are satisfied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at the time the related performance obligation is satisfied by transferring a promised good or service to its customers. A good or service is considered to be transferred when the customer obtains control. The Company can transfer control of a good or service and satisfy its performance obligations either over time or at a point in time. The Company transfers control of a good or service over time and, therefore, satisfies a performance obligation and recognizes revenue over time if one of the following three criteria are met: (a) the customer simultaneously receives and consumes the benefits provided by the Company’s performance as we perform, (b) the Company’s performance creates or enhances an asset that the customer controls as the asset is created or enhanced, or (c) the Company’s performance does not create an asset with an alternative use to us, and we have an enforceable right to payment for performance completed to date.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our performance obligations satisfied over time, we recognize revenue by measuring the progress toward complete satisfaction of that performance obligation. The selection of the method to measure progress towards completion can be either an input method or an output method and requires judgment based on the nature of the goods or services to be provided. </w:t>
      </w:r>
    </w:p>
    <w:p>
      <w:pPr>
        <w:pStyle w:val="TextBody"/>
        <w:bidi w:val="0"/>
        <w:spacing w:before="160" w:after="100"/>
        <w:ind w:left="0" w:right="0" w:firstLine="450"/>
        <w:jc w:val="both"/>
        <w:rPr/>
      </w:pPr>
      <w:r>
        <w:rPr/>
      </w:r>
    </w:p>
    <w:p>
      <w:pPr>
        <w:pStyle w:val="TextBody"/>
        <w:bidi w:val="0"/>
        <w:spacing w:before="160" w:after="283"/>
        <w:ind w:left="0" w:right="0" w:firstLine="450"/>
        <w:jc w:val="both"/>
        <w:rPr/>
      </w:pPr>
      <w:r>
        <w:rPr/>
      </w:r>
    </w:p>
    <w:p>
      <w:pPr>
        <w:pStyle w:val="TextBody"/>
        <w:bidi w:val="0"/>
        <w:spacing w:before="160" w:after="283"/>
        <w:ind w:left="0" w:right="0" w:firstLine="450"/>
        <w:jc w:val="both"/>
        <w:rPr/>
      </w:pPr>
      <w:r>
        <w:rPr/>
      </w:r>
    </w:p>
    <w:p>
      <w:pPr>
        <w:pStyle w:val="TextBody"/>
        <w:bidi w:val="0"/>
        <w:spacing w:before="16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NOTE 3 - Revenue from Contracts with Customers (Continued)</w:t>
      </w:r>
    </w:p>
    <w:p>
      <w:pPr>
        <w:pStyle w:val="TextBody"/>
        <w:bidi w:val="0"/>
        <w:spacing w:lineRule="auto" w:line="288" w:before="18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our construction contracts, revenue is generally recognized over time as our performance creates or enhances an asset that the customer controls as it is created or enhanced. Our fixed price construction projects generally use a cost-to-cost input method to measure our progress towards complete satisfaction of the performance obligation as we believe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For our unit price construction contracts, progress towards complete satisfaction is measured through an output method, such as the number of units produced or delivered, when our performance does not produce significant amounts of work in process or finished goods prior to complete satisfaction of such performance obligations.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our services contracts, revenue is also generally recognized over time as the customer simultaneously receives and consumes the benefits of our performance as we perform the service. For our fixed price service contracts with specified service periods, revenue is generally recognized on a straight-line basis over such service period when our inputs are expended evenly and the customer receives and consumes the benefits of our performance throughout the contract term.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for the manufacturing of new build heat exchangers within our United States industrial services segment depends on the payment terms of the contract, as our performance does not create an asset with an alternative use to us. For those contracts for which we have a right to payment for performance completed to date at all times throughout our performance, inclusive of a cancellation, we recognize revenue over time. For these performance obligations, we use a cost-to-cost input method to measure our progress towards complete satisfaction of the performance obligation as we believe it best depicts the transfer of control to the customer which occurs as we incur costs on our contracts. However, for those contracts for which we do not have a right, at all times, to payment for performance completed to date, we recognize revenue at the point in time when control is transferred to the customer. For bill-and-hold arrangements, revenue is recognized when the customer obtains control of the heat exchanger, which may be prior to shipping if certain recognition criteria are met.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certain of our revenue streams, such as call-out repair and service work, outage services, refinery turnarounds, and specialty welding services that are performed under time and materials contracts, our progress towards complete satisfaction of such performance obligations is measured using an output method as the customer receives and consumes the benefits of our performance completed to date.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Changes in Estimates</w:t>
      </w:r>
    </w:p>
    <w:p>
      <w:pPr>
        <w:pStyle w:val="TextBody"/>
        <w:bidi w:val="0"/>
        <w:spacing w:lineRule="auto" w:line="288" w:before="180" w:after="1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Due to uncertainties inherent in the estimation process, as well as the significant judgment involved in determining variable consideration, it is possible that estimates of costs to complete a performance obligation, and/or our estimates of transaction prices, will be revised in the near term. For those performance obligations for which revenue is recognized using a cost-to-cost input method, changes in total estimated costs, and related progress towards complete satisfaction of the performance obligation, or changes in the estimate of transaction prices, are recognized on a cumulative catch-up basis in the period in which the revisions to the estimates are made. When the current estimate of total costs for a performance obligation indicates a loss, a provision for the entire estimated loss on the unsatisfied performance obligation is made in the period in which the loss becomes evident. </w:t>
      </w:r>
    </w:p>
    <w:p>
      <w:pPr>
        <w:pStyle w:val="TextBody"/>
        <w:bidi w:val="0"/>
        <w:spacing w:lineRule="auto" w:line="288" w:before="18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an evaluation of individual projects that were substantially complete in prior periods but had revisions to total estimated costs or anticipated contract value (inclusive of the settlement of previously outstanding change orders and claims) that resulted in an increase to profitability in excess of $1.0 million, we recognized revenue during the three and six months ended June 30, 2026 and 2025, as summarized in the following table (in thousands):</w:t>
      </w:r>
    </w:p>
    <w:tbl>
      <w:tblPr>
        <w:tblW w:w="10109" w:type="dxa"/>
        <w:jc w:val="left"/>
        <w:tblInd w:w="0" w:type="dxa"/>
        <w:tblLayout w:type="fixed"/>
        <w:tblCellMar>
          <w:top w:w="28" w:type="dxa"/>
          <w:left w:w="28" w:type="dxa"/>
          <w:bottom w:w="28" w:type="dxa"/>
          <w:right w:w="28" w:type="dxa"/>
        </w:tblCellMar>
      </w:tblPr>
      <w:tblGrid>
        <w:gridCol w:w="1819"/>
        <w:gridCol w:w="1598"/>
        <w:gridCol w:w="160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impact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50"/>
        <w:jc w:val="both"/>
        <w:rPr/>
      </w:pPr>
      <w:r>
        <w:rPr/>
      </w:r>
    </w:p>
    <w:p>
      <w:pPr>
        <w:pStyle w:val="TextBody"/>
        <w:bidi w:val="0"/>
        <w:spacing w:before="160" w:after="16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60" w:after="140"/>
        <w:jc w:val="both"/>
        <w:rPr>
          <w:rFonts w:ascii="Times New Roman;serif" w:hAnsi="Times New Roman;serif"/>
          <w:b/>
          <w:color w:val="000000"/>
          <w:sz w:val="20"/>
        </w:rPr>
      </w:pPr>
      <w:r>
        <w:rPr>
          <w:rFonts w:ascii="Times New Roman;serif" w:hAnsi="Times New Roman;serif"/>
          <w:b/>
          <w:color w:val="000000"/>
          <w:sz w:val="20"/>
        </w:rPr>
        <w:t>NOTE 3 - Revenue from Contracts with Customers (Continued)</w:t>
      </w:r>
    </w:p>
    <w:p>
      <w:pPr>
        <w:pStyle w:val="TextBody"/>
        <w:bidi w:val="0"/>
        <w:spacing w:lineRule="auto" w:line="288" w:before="18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Based on an evaluation of individual projects that had revisions to total estimated costs or anticipated contract value that resulted in a reduction of profitability in excess of $1.0 million, our operating results were negatively impacted during the three and six months ended June 30, 2026 and 2025, as summarized in the following table (in thousands): </w:t>
      </w:r>
    </w:p>
    <w:tbl>
      <w:tblPr>
        <w:tblW w:w="10205" w:type="dxa"/>
        <w:jc w:val="left"/>
        <w:tblInd w:w="0" w:type="dxa"/>
        <w:tblLayout w:type="fixed"/>
        <w:tblCellMar>
          <w:top w:w="28" w:type="dxa"/>
          <w:left w:w="28" w:type="dxa"/>
          <w:bottom w:w="28" w:type="dxa"/>
          <w:right w:w="28" w:type="dxa"/>
        </w:tblCellMar>
      </w:tblPr>
      <w:tblGrid>
        <w:gridCol w:w="1815"/>
        <w:gridCol w:w="1595"/>
        <w:gridCol w:w="160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impact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40"/>
        <w:jc w:val="both"/>
        <w:rPr>
          <w:rFonts w:ascii="Times New Roman;serif" w:hAnsi="Times New Roman;serif"/>
          <w:b w:val="false"/>
          <w:i/>
          <w:color w:val="000000"/>
          <w:sz w:val="20"/>
        </w:rPr>
      </w:pPr>
      <w:r>
        <w:rPr>
          <w:rFonts w:ascii="Times New Roman;serif" w:hAnsi="Times New Roman;serif"/>
          <w:b w:val="false"/>
          <w:i/>
          <w:color w:val="000000"/>
          <w:sz w:val="20"/>
        </w:rPr>
        <w:t xml:space="preserve">Disaggregation of Revenues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revenues are principally derived from contracts to provide construction services relating to electrical and mechanical systems, as well as to provide a number of building services and industrial services to our customers. Our contracts are with many different customers in numerous industries.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provide further disaggregation of our revenues, by categories we use to evaluate our financial performance within each of our reportable segments, for the three and six months ended June 30, 2026 and 2025 (in thousands, except for percentages). Refer to Note 13 - Segment Information of the notes to consolidated financial statements for additional information on how we disaggregate our revenues by reportable segment. </w:t>
      </w:r>
    </w:p>
    <w:p>
      <w:pPr>
        <w:pStyle w:val="TextBody"/>
        <w:bidi w:val="0"/>
        <w:spacing w:before="160" w:after="283"/>
        <w:ind w:left="0" w:right="0" w:firstLine="450"/>
        <w:jc w:val="both"/>
        <w:rPr/>
      </w:pPr>
      <w:r>
        <w:rPr/>
      </w:r>
    </w:p>
    <w:tbl>
      <w:tblPr>
        <w:tblW w:w="9946" w:type="dxa"/>
        <w:jc w:val="left"/>
        <w:tblInd w:w="0" w:type="dxa"/>
        <w:tblLayout w:type="fixed"/>
        <w:tblCellMar>
          <w:top w:w="28" w:type="dxa"/>
          <w:left w:w="28" w:type="dxa"/>
          <w:bottom w:w="28" w:type="dxa"/>
          <w:right w:w="28" w:type="dxa"/>
        </w:tblCellMar>
      </w:tblPr>
      <w:tblGrid>
        <w:gridCol w:w="1830"/>
        <w:gridCol w:w="1610"/>
        <w:gridCol w:w="1614"/>
        <w:gridCol w:w="211"/>
        <w:gridCol w:w="976"/>
        <w:gridCol w:w="109"/>
        <w:gridCol w:w="109"/>
        <w:gridCol w:w="109"/>
        <w:gridCol w:w="109"/>
        <w:gridCol w:w="180"/>
        <w:gridCol w:w="181"/>
        <w:gridCol w:w="276"/>
        <w:gridCol w:w="109"/>
        <w:gridCol w:w="109"/>
        <w:gridCol w:w="109"/>
        <w:gridCol w:w="211"/>
        <w:gridCol w:w="976"/>
        <w:gridCol w:w="109"/>
        <w:gridCol w:w="109"/>
        <w:gridCol w:w="109"/>
        <w:gridCol w:w="109"/>
        <w:gridCol w:w="180"/>
        <w:gridCol w:w="181"/>
        <w:gridCol w:w="321"/>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 electrical construction and facilities services: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and communications market sector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industrial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High-tech manufacturing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and wastewater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 and entertainment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Short-duration projects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work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1,663,380 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1,341,883 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intersegment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1,662,501 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24"/>
        </w:rPr>
        <w:t>________</w:t>
      </w:r>
    </w:p>
    <w:p>
      <w:pPr>
        <w:pStyle w:val="TextBody"/>
        <w:bidi w:val="0"/>
        <w:spacing w:lineRule="auto" w:line="288" w:before="60" w:after="6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(1)Represents those projects which generally are completed within three months or less. </w:t>
      </w:r>
    </w:p>
    <w:p>
      <w:pPr>
        <w:pStyle w:val="TextBody"/>
        <w:bidi w:val="0"/>
        <w:spacing w:before="160" w:after="140"/>
        <w:jc w:val="both"/>
        <w:rPr/>
      </w:pPr>
      <w:r>
        <w:rPr/>
      </w:r>
    </w:p>
    <w:p>
      <w:pPr>
        <w:pStyle w:val="TextBody"/>
        <w:bidi w:val="0"/>
        <w:spacing w:before="160" w:after="140"/>
        <w:jc w:val="both"/>
        <w:rPr/>
      </w:pPr>
      <w:r>
        <w:rPr/>
      </w:r>
    </w:p>
    <w:p>
      <w:pPr>
        <w:pStyle w:val="TextBody"/>
        <w:bidi w:val="0"/>
        <w:spacing w:before="160" w:after="140"/>
        <w:jc w:val="both"/>
        <w:rPr/>
      </w:pPr>
      <w:r>
        <w:rPr/>
      </w:r>
    </w:p>
    <w:p>
      <w:pPr>
        <w:pStyle w:val="TextBody"/>
        <w:bidi w:val="0"/>
        <w:spacing w:before="160" w:after="140"/>
        <w:jc w:val="both"/>
        <w:rPr/>
      </w:pPr>
      <w:r>
        <w:rPr/>
      </w:r>
    </w:p>
    <w:p>
      <w:pPr>
        <w:pStyle w:val="TextBody"/>
        <w:bidi w:val="0"/>
        <w:spacing w:before="160" w:after="1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192" w:before="160" w:after="140"/>
        <w:jc w:val="both"/>
        <w:rPr>
          <w:rFonts w:ascii="Times New Roman;serif" w:hAnsi="Times New Roman;serif"/>
          <w:b/>
          <w:color w:val="000000"/>
          <w:sz w:val="20"/>
        </w:rPr>
      </w:pPr>
      <w:r>
        <w:rPr>
          <w:rFonts w:ascii="Times New Roman;serif" w:hAnsi="Times New Roman;serif"/>
          <w:b/>
          <w:color w:val="000000"/>
          <w:sz w:val="20"/>
        </w:rPr>
        <w:t>NOTE 3 - Revenue from Contracts with Customers (Continued)</w:t>
      </w:r>
    </w:p>
    <w:tbl>
      <w:tblPr>
        <w:tblW w:w="10126" w:type="dxa"/>
        <w:jc w:val="left"/>
        <w:tblInd w:w="0" w:type="dxa"/>
        <w:tblLayout w:type="fixed"/>
        <w:tblCellMar>
          <w:top w:w="28" w:type="dxa"/>
          <w:left w:w="28" w:type="dxa"/>
          <w:bottom w:w="28" w:type="dxa"/>
          <w:right w:w="28" w:type="dxa"/>
        </w:tblCellMar>
      </w:tblPr>
      <w:tblGrid>
        <w:gridCol w:w="1895"/>
        <w:gridCol w:w="1667"/>
        <w:gridCol w:w="1672"/>
        <w:gridCol w:w="211"/>
        <w:gridCol w:w="976"/>
        <w:gridCol w:w="109"/>
        <w:gridCol w:w="109"/>
        <w:gridCol w:w="109"/>
        <w:gridCol w:w="109"/>
        <w:gridCol w:w="180"/>
        <w:gridCol w:w="181"/>
        <w:gridCol w:w="276"/>
        <w:gridCol w:w="109"/>
        <w:gridCol w:w="109"/>
        <w:gridCol w:w="109"/>
        <w:gridCol w:w="211"/>
        <w:gridCol w:w="976"/>
        <w:gridCol w:w="109"/>
        <w:gridCol w:w="109"/>
        <w:gridCol w:w="109"/>
        <w:gridCol w:w="109"/>
        <w:gridCol w:w="180"/>
        <w:gridCol w:w="181"/>
        <w:gridCol w:w="321"/>
      </w:tblGrid>
      <w:tr>
        <w:trPr/>
        <w:tc>
          <w:tcPr>
            <w:tcW w:w="189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 mechanical construction and facilities services: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and communications market sector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industrial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High-tech manufacturing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and wastewater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 and entertainment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Short-duration projects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work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1,756,632 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intersegment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2,300,873 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24"/>
        </w:rPr>
        <w:t>________</w:t>
      </w:r>
    </w:p>
    <w:p>
      <w:pPr>
        <w:pStyle w:val="TextBody"/>
        <w:bidi w:val="0"/>
        <w:spacing w:lineRule="auto" w:line="288" w:before="60" w:after="6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(1)Represents those projects which generally are completed within three months or less. </w:t>
      </w:r>
    </w:p>
    <w:tbl>
      <w:tblPr>
        <w:tblW w:w="7337" w:type="dxa"/>
        <w:jc w:val="left"/>
        <w:tblInd w:w="0" w:type="dxa"/>
        <w:tblLayout w:type="fixed"/>
        <w:tblCellMar>
          <w:top w:w="28" w:type="dxa"/>
          <w:left w:w="28" w:type="dxa"/>
          <w:bottom w:w="28" w:type="dxa"/>
          <w:right w:w="28" w:type="dxa"/>
        </w:tblCellMar>
      </w:tblPr>
      <w:tblGrid>
        <w:gridCol w:w="994"/>
        <w:gridCol w:w="874"/>
        <w:gridCol w:w="877"/>
        <w:gridCol w:w="211"/>
        <w:gridCol w:w="826"/>
        <w:gridCol w:w="109"/>
        <w:gridCol w:w="109"/>
        <w:gridCol w:w="109"/>
        <w:gridCol w:w="109"/>
        <w:gridCol w:w="180"/>
        <w:gridCol w:w="181"/>
        <w:gridCol w:w="276"/>
        <w:gridCol w:w="109"/>
        <w:gridCol w:w="109"/>
        <w:gridCol w:w="109"/>
        <w:gridCol w:w="211"/>
        <w:gridCol w:w="826"/>
        <w:gridCol w:w="109"/>
        <w:gridCol w:w="109"/>
        <w:gridCol w:w="109"/>
        <w:gridCol w:w="109"/>
        <w:gridCol w:w="180"/>
        <w:gridCol w:w="181"/>
        <w:gridCol w:w="321"/>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 building services: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Mechanical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site-based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site-based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56" w:type="dxa"/>
        <w:jc w:val="left"/>
        <w:tblInd w:w="0" w:type="dxa"/>
        <w:tblLayout w:type="fixed"/>
        <w:tblCellMar>
          <w:top w:w="28" w:type="dxa"/>
          <w:left w:w="28" w:type="dxa"/>
          <w:bottom w:w="28" w:type="dxa"/>
          <w:right w:w="28" w:type="dxa"/>
        </w:tblCellMar>
      </w:tblPr>
      <w:tblGrid>
        <w:gridCol w:w="1036"/>
        <w:gridCol w:w="911"/>
        <w:gridCol w:w="917"/>
        <w:gridCol w:w="211"/>
        <w:gridCol w:w="976"/>
        <w:gridCol w:w="109"/>
        <w:gridCol w:w="109"/>
        <w:gridCol w:w="109"/>
        <w:gridCol w:w="109"/>
        <w:gridCol w:w="180"/>
        <w:gridCol w:w="181"/>
        <w:gridCol w:w="276"/>
        <w:gridCol w:w="109"/>
        <w:gridCol w:w="109"/>
        <w:gridCol w:w="109"/>
        <w:gridCol w:w="211"/>
        <w:gridCol w:w="976"/>
        <w:gridCol w:w="109"/>
        <w:gridCol w:w="109"/>
        <w:gridCol w:w="109"/>
        <w:gridCol w:w="109"/>
        <w:gridCol w:w="180"/>
        <w:gridCol w:w="181"/>
        <w:gridCol w:w="321"/>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 industrial services: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Shop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4,169,836 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72" w:type="dxa"/>
        <w:jc w:val="center"/>
        <w:tblInd w:w="0" w:type="dxa"/>
        <w:tblLayout w:type="fixed"/>
        <w:tblCellMar>
          <w:top w:w="28" w:type="dxa"/>
          <w:left w:w="28" w:type="dxa"/>
          <w:bottom w:w="28" w:type="dxa"/>
          <w:right w:w="28" w:type="dxa"/>
        </w:tblCellMar>
      </w:tblPr>
      <w:tblGrid>
        <w:gridCol w:w="1104"/>
        <w:gridCol w:w="967"/>
        <w:gridCol w:w="974"/>
        <w:gridCol w:w="211"/>
        <w:gridCol w:w="976"/>
        <w:gridCol w:w="109"/>
        <w:gridCol w:w="109"/>
        <w:gridCol w:w="109"/>
        <w:gridCol w:w="109"/>
        <w:gridCol w:w="203"/>
        <w:gridCol w:w="203"/>
        <w:gridCol w:w="166"/>
        <w:gridCol w:w="109"/>
        <w:gridCol w:w="109"/>
        <w:gridCol w:w="109"/>
        <w:gridCol w:w="211"/>
        <w:gridCol w:w="976"/>
        <w:gridCol w:w="109"/>
        <w:gridCol w:w="109"/>
        <w:gridCol w:w="109"/>
        <w:gridCol w:w="109"/>
        <w:gridCol w:w="180"/>
        <w:gridCol w:w="181"/>
        <w:gridCol w:w="321"/>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Kingdom building services: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work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work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4,304,400 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00" w:after="160"/>
        <w:jc w:val="both"/>
        <w:rPr>
          <w:rFonts w:ascii="Times New Roman;serif" w:hAnsi="Times New Roman;serif"/>
          <w:b/>
          <w:color w:val="000000"/>
          <w:sz w:val="20"/>
        </w:rPr>
      </w:pPr>
      <w:r>
        <w:rPr>
          <w:rFonts w:ascii="Times New Roman;serif" w:hAnsi="Times New Roman;serif"/>
          <w:b/>
          <w:color w:val="000000"/>
          <w:sz w:val="20"/>
        </w:rPr>
        <w:t>NOTE 3 - Revenue from Contracts with Customers (Continued)</w:t>
      </w:r>
    </w:p>
    <w:tbl>
      <w:tblPr>
        <w:tblW w:w="9946" w:type="dxa"/>
        <w:jc w:val="left"/>
        <w:tblInd w:w="0" w:type="dxa"/>
        <w:tblLayout w:type="fixed"/>
        <w:tblCellMar>
          <w:top w:w="28" w:type="dxa"/>
          <w:left w:w="28" w:type="dxa"/>
          <w:bottom w:w="28" w:type="dxa"/>
          <w:right w:w="28" w:type="dxa"/>
        </w:tblCellMar>
      </w:tblPr>
      <w:tblGrid>
        <w:gridCol w:w="1830"/>
        <w:gridCol w:w="1610"/>
        <w:gridCol w:w="1614"/>
        <w:gridCol w:w="211"/>
        <w:gridCol w:w="976"/>
        <w:gridCol w:w="109"/>
        <w:gridCol w:w="109"/>
        <w:gridCol w:w="109"/>
        <w:gridCol w:w="109"/>
        <w:gridCol w:w="180"/>
        <w:gridCol w:w="181"/>
        <w:gridCol w:w="276"/>
        <w:gridCol w:w="109"/>
        <w:gridCol w:w="109"/>
        <w:gridCol w:w="109"/>
        <w:gridCol w:w="211"/>
        <w:gridCol w:w="976"/>
        <w:gridCol w:w="109"/>
        <w:gridCol w:w="109"/>
        <w:gridCol w:w="109"/>
        <w:gridCol w:w="109"/>
        <w:gridCol w:w="180"/>
        <w:gridCol w:w="181"/>
        <w:gridCol w:w="321"/>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 electrical construction and facilities services: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and communications market sector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industrial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High-tech manufacturing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and wastewater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 and entertainment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Short-duration projects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work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2,431,833 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intersegment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3,109,915 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2,428,091 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40"/>
        <w:jc w:val="both"/>
        <w:rPr>
          <w:rFonts w:ascii="Times New Roman;serif" w:hAnsi="Times New Roman;serif"/>
          <w:b w:val="false"/>
          <w:color w:val="000000"/>
          <w:sz w:val="24"/>
        </w:rPr>
      </w:pPr>
      <w:r>
        <w:rPr>
          <w:rFonts w:ascii="Times New Roman;serif" w:hAnsi="Times New Roman;serif"/>
          <w:b w:val="false"/>
          <w:color w:val="000000"/>
          <w:sz w:val="24"/>
        </w:rPr>
        <w:t>________</w:t>
      </w:r>
    </w:p>
    <w:p>
      <w:pPr>
        <w:pStyle w:val="TextBody"/>
        <w:bidi w:val="0"/>
        <w:spacing w:lineRule="auto" w:line="288" w:before="60" w:after="6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(1)Represents those projects which generally are completed within three months or less.</w:t>
      </w:r>
    </w:p>
    <w:tbl>
      <w:tblPr>
        <w:tblW w:w="10126" w:type="dxa"/>
        <w:jc w:val="left"/>
        <w:tblInd w:w="0" w:type="dxa"/>
        <w:tblLayout w:type="fixed"/>
        <w:tblCellMar>
          <w:top w:w="28" w:type="dxa"/>
          <w:left w:w="28" w:type="dxa"/>
          <w:bottom w:w="28" w:type="dxa"/>
          <w:right w:w="28" w:type="dxa"/>
        </w:tblCellMar>
      </w:tblPr>
      <w:tblGrid>
        <w:gridCol w:w="1895"/>
        <w:gridCol w:w="1667"/>
        <w:gridCol w:w="1672"/>
        <w:gridCol w:w="211"/>
        <w:gridCol w:w="976"/>
        <w:gridCol w:w="109"/>
        <w:gridCol w:w="109"/>
        <w:gridCol w:w="109"/>
        <w:gridCol w:w="109"/>
        <w:gridCol w:w="180"/>
        <w:gridCol w:w="181"/>
        <w:gridCol w:w="276"/>
        <w:gridCol w:w="109"/>
        <w:gridCol w:w="109"/>
        <w:gridCol w:w="109"/>
        <w:gridCol w:w="211"/>
        <w:gridCol w:w="976"/>
        <w:gridCol w:w="109"/>
        <w:gridCol w:w="109"/>
        <w:gridCol w:w="109"/>
        <w:gridCol w:w="109"/>
        <w:gridCol w:w="180"/>
        <w:gridCol w:w="181"/>
        <w:gridCol w:w="321"/>
      </w:tblGrid>
      <w:tr>
        <w:trPr/>
        <w:tc>
          <w:tcPr>
            <w:tcW w:w="189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 mechanical construction and facilities services: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and communications market sector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industrial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High-tech manufacturing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and wastewater market sector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 and entertainment market sector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Short-duration projects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work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intersegment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4,327,214 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3,327,860 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160" w:after="140"/>
        <w:jc w:val="both"/>
        <w:rPr>
          <w:rFonts w:ascii="Times New Roman;serif" w:hAnsi="Times New Roman;serif"/>
          <w:b w:val="false"/>
          <w:color w:val="000000"/>
          <w:sz w:val="24"/>
        </w:rPr>
      </w:pPr>
      <w:r>
        <w:rPr>
          <w:rFonts w:ascii="Times New Roman;serif" w:hAnsi="Times New Roman;serif"/>
          <w:b w:val="false"/>
          <w:color w:val="000000"/>
          <w:sz w:val="24"/>
        </w:rPr>
        <w:t>________</w:t>
      </w:r>
    </w:p>
    <w:p>
      <w:pPr>
        <w:pStyle w:val="TextBody"/>
        <w:bidi w:val="0"/>
        <w:spacing w:lineRule="auto" w:line="288" w:before="60" w:after="6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(1)Represents those projects which generally are completed within three months or less.</w:t>
      </w:r>
    </w:p>
    <w:p>
      <w:pPr>
        <w:pStyle w:val="TextBody"/>
        <w:bidi w:val="0"/>
        <w:spacing w:before="100" w:after="160"/>
        <w:ind w:left="0" w:right="0" w:hanging="90"/>
        <w:jc w:val="both"/>
        <w:rPr/>
      </w:pPr>
      <w:r>
        <w:rPr/>
      </w:r>
    </w:p>
    <w:p>
      <w:pPr>
        <w:pStyle w:val="TextBody"/>
        <w:bidi w:val="0"/>
        <w:spacing w:before="100" w:after="160"/>
        <w:ind w:left="0" w:right="0" w:hanging="90"/>
        <w:jc w:val="both"/>
        <w:rPr/>
      </w:pPr>
      <w:r>
        <w:rPr/>
      </w:r>
    </w:p>
    <w:p>
      <w:pPr>
        <w:pStyle w:val="TextBody"/>
        <w:bidi w:val="0"/>
        <w:spacing w:before="100" w:after="160"/>
        <w:ind w:left="0" w:right="0" w:hanging="90"/>
        <w:jc w:val="both"/>
        <w:rPr/>
      </w:pPr>
      <w:r>
        <w:rPr/>
      </w:r>
    </w:p>
    <w:p>
      <w:pPr>
        <w:pStyle w:val="TextBody"/>
        <w:bidi w:val="0"/>
        <w:spacing w:before="100" w:after="160"/>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00" w:after="160"/>
        <w:jc w:val="both"/>
        <w:rPr>
          <w:rFonts w:ascii="Times New Roman;serif" w:hAnsi="Times New Roman;serif"/>
          <w:b/>
          <w:color w:val="000000"/>
          <w:sz w:val="20"/>
        </w:rPr>
      </w:pPr>
      <w:r>
        <w:rPr>
          <w:rFonts w:ascii="Times New Roman;serif" w:hAnsi="Times New Roman;serif"/>
          <w:b/>
          <w:color w:val="000000"/>
          <w:sz w:val="20"/>
        </w:rPr>
        <w:t>NOTE 3 - Revenue from Contracts with Customers (Continued)</w:t>
      </w:r>
    </w:p>
    <w:tbl>
      <w:tblPr>
        <w:tblW w:w="7637" w:type="dxa"/>
        <w:jc w:val="left"/>
        <w:tblInd w:w="0" w:type="dxa"/>
        <w:tblLayout w:type="fixed"/>
        <w:tblCellMar>
          <w:top w:w="28" w:type="dxa"/>
          <w:left w:w="28" w:type="dxa"/>
          <w:bottom w:w="28" w:type="dxa"/>
          <w:right w:w="28" w:type="dxa"/>
        </w:tblCellMar>
      </w:tblPr>
      <w:tblGrid>
        <w:gridCol w:w="994"/>
        <w:gridCol w:w="874"/>
        <w:gridCol w:w="877"/>
        <w:gridCol w:w="211"/>
        <w:gridCol w:w="976"/>
        <w:gridCol w:w="109"/>
        <w:gridCol w:w="109"/>
        <w:gridCol w:w="109"/>
        <w:gridCol w:w="109"/>
        <w:gridCol w:w="180"/>
        <w:gridCol w:w="181"/>
        <w:gridCol w:w="276"/>
        <w:gridCol w:w="109"/>
        <w:gridCol w:w="109"/>
        <w:gridCol w:w="109"/>
        <w:gridCol w:w="211"/>
        <w:gridCol w:w="976"/>
        <w:gridCol w:w="109"/>
        <w:gridCol w:w="109"/>
        <w:gridCol w:w="109"/>
        <w:gridCol w:w="109"/>
        <w:gridCol w:w="180"/>
        <w:gridCol w:w="181"/>
        <w:gridCol w:w="321"/>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 building services: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Mechanical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site-based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site-based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56" w:type="dxa"/>
        <w:jc w:val="left"/>
        <w:tblInd w:w="0" w:type="dxa"/>
        <w:tblLayout w:type="fixed"/>
        <w:tblCellMar>
          <w:top w:w="28" w:type="dxa"/>
          <w:left w:w="28" w:type="dxa"/>
          <w:bottom w:w="28" w:type="dxa"/>
          <w:right w:w="28" w:type="dxa"/>
        </w:tblCellMar>
      </w:tblPr>
      <w:tblGrid>
        <w:gridCol w:w="1036"/>
        <w:gridCol w:w="911"/>
        <w:gridCol w:w="917"/>
        <w:gridCol w:w="211"/>
        <w:gridCol w:w="976"/>
        <w:gridCol w:w="109"/>
        <w:gridCol w:w="109"/>
        <w:gridCol w:w="109"/>
        <w:gridCol w:w="109"/>
        <w:gridCol w:w="180"/>
        <w:gridCol w:w="181"/>
        <w:gridCol w:w="276"/>
        <w:gridCol w:w="109"/>
        <w:gridCol w:w="109"/>
        <w:gridCol w:w="109"/>
        <w:gridCol w:w="211"/>
        <w:gridCol w:w="976"/>
        <w:gridCol w:w="109"/>
        <w:gridCol w:w="109"/>
        <w:gridCol w:w="109"/>
        <w:gridCol w:w="109"/>
        <w:gridCol w:w="180"/>
        <w:gridCol w:w="181"/>
        <w:gridCol w:w="321"/>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 industrial services: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Shop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9,783,125 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7,931,907 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72" w:type="dxa"/>
        <w:jc w:val="left"/>
        <w:tblInd w:w="0" w:type="dxa"/>
        <w:tblLayout w:type="fixed"/>
        <w:tblCellMar>
          <w:top w:w="28" w:type="dxa"/>
          <w:left w:w="28" w:type="dxa"/>
          <w:bottom w:w="28" w:type="dxa"/>
          <w:right w:w="28" w:type="dxa"/>
        </w:tblCellMar>
      </w:tblPr>
      <w:tblGrid>
        <w:gridCol w:w="1104"/>
        <w:gridCol w:w="967"/>
        <w:gridCol w:w="974"/>
        <w:gridCol w:w="211"/>
        <w:gridCol w:w="976"/>
        <w:gridCol w:w="109"/>
        <w:gridCol w:w="109"/>
        <w:gridCol w:w="109"/>
        <w:gridCol w:w="109"/>
        <w:gridCol w:w="203"/>
        <w:gridCol w:w="203"/>
        <w:gridCol w:w="166"/>
        <w:gridCol w:w="109"/>
        <w:gridCol w:w="109"/>
        <w:gridCol w:w="109"/>
        <w:gridCol w:w="211"/>
        <w:gridCol w:w="976"/>
        <w:gridCol w:w="109"/>
        <w:gridCol w:w="109"/>
        <w:gridCol w:w="109"/>
        <w:gridCol w:w="109"/>
        <w:gridCol w:w="180"/>
        <w:gridCol w:w="181"/>
        <w:gridCol w:w="321"/>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Kingdom building services: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work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work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9,783,125 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8,171,772 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Accounts Receivable and Allowance for Credit Losses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are recognized in the period we deliver goods and services to our customers or when our right to consideration is unconditional. The Company maintains an allowance for credit losses to reduce outstanding receivables to their net realizable value. Judgment is required when determining expected credit losses. Estimates of such losses are recorded when we believe a customer, or group of customers, may not be able to meet their financial obligations due to deterioration in financial condition or credit rating. Factors relevant to our assessment include our prior collection history with our customers, the related aging of past due balances, projections of credit losses based on historical trends in credit quality indicators or past events, and forecasts of future economic conditions. In addition to monitoring delinquent accounts, management reviews the credit quality of its receivables by, among other things, obtaining credit ratings of significant customers, assessing economic and market conditions, and evaluating material changes to a customer’s business, cash flows, and financial condition.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our allowance for credit losses was $25.0 million and $22.8 million, respectively. Allowances for credit losses are based on the best facts available and are reassessed and adjusted on a regular basis as additional information is received. Should anticipated collections fail to materialize, or if future economic conditions compare unfavorably to our forecasts, we could experience an increase in our credit losses.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the allowance for credit losses for the six months ended June 30, 2026 was as follows (in thousands):</w:t>
      </w:r>
    </w:p>
    <w:tbl>
      <w:tblPr>
        <w:tblW w:w="6050" w:type="dxa"/>
        <w:jc w:val="center"/>
        <w:tblInd w:w="0" w:type="dxa"/>
        <w:tblLayout w:type="fixed"/>
        <w:tblCellMar>
          <w:top w:w="28" w:type="dxa"/>
          <w:left w:w="28" w:type="dxa"/>
          <w:bottom w:w="28" w:type="dxa"/>
          <w:right w:w="28" w:type="dxa"/>
        </w:tblCellMar>
      </w:tblPr>
      <w:tblGrid>
        <w:gridCol w:w="1797"/>
        <w:gridCol w:w="1579"/>
        <w:gridCol w:w="1588"/>
        <w:gridCol w:w="211"/>
        <w:gridCol w:w="72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written off against the allowance, net of recoveries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192" w:before="100" w:after="160"/>
        <w:jc w:val="both"/>
        <w:rPr/>
      </w:pPr>
      <w:r>
        <w:rPr>
          <w:rFonts w:ascii="Times New Roman;serif" w:hAnsi="Times New Roman;serif"/>
          <w:b/>
          <w:color w:val="000000"/>
          <w:sz w:val="20"/>
        </w:rPr>
        <w:t>NOTE 3 - Revenue from Contracts with Customers (Continued)</w:t>
      </w:r>
      <w:r>
        <w:rPr>
          <w:color w:val="000000"/>
        </w:rPr>
        <w:t xml:space="preserve"> </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our allowance for credit losses was due to the provision for credit losses recorded during the six months ended June 30, 2026, partially offset by the write-off of specific receivables, which were deemed uncollectable. </w:t>
      </w:r>
    </w:p>
    <w:p>
      <w:pPr>
        <w:pStyle w:val="TextBody"/>
        <w:bidi w:val="0"/>
        <w:spacing w:lineRule="auto" w:line="192" w:before="18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Contract Assets and Contract Liabilities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may differ from the timing of invoicing to customers. Contract assets include unbilled amounts from our construction projects when revenues recognized under the cost-to-cost measure of progress exceed the amounts invoiced to our customers, as the amounts are not yet billable under the terms of our contracts. Such amounts are recoverable from our customers based upon various measures of performance, including achievement of certain milestones, completion of specified units, or completion of a contract. In addition, many of our time and materials arrangements, as well as our contracts to perform turnaround services within the United States industrial services segment, are billed in arrears pursuant to contract terms that are standard within the industry, resulting in contract assets and/or unbilled receivables being recorded as revenue is recognized in advance of billings.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Also included in contract assets are amounts we seek or will seek to collect from customers or others for errors or changes in contract specifications or design, contract change orders or modifications in dispute or unapproved as to scope and/or price, or other customer-related causes of unanticipated additional contract costs (claims and unapproved change orders). Our contract assets do not include capitalized costs to obtain and fulfill a contract. Contract assets are generally classified as current within the Consolidated Balance Sheets.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liabilities from our construction contracts arise when amounts invoiced to our customers exceed revenues recognized under the cost-to-cost measure of progress. Contract liabilities additionally include advanced payments from our customers on certain contracts. Contract liabilities decrease as we recognize revenue from the satisfaction of the related performance obligation and are recorded as either current or long-term, depending upon when we expect to recognize such revenue. The long-term portion of contract liabilities is included in “Other long-term obligations” in the Consolidated Balance Sheets.</w:t>
      </w:r>
    </w:p>
    <w:p>
      <w:pPr>
        <w:pStyle w:val="TextBody"/>
        <w:bidi w:val="0"/>
        <w:spacing w:lineRule="auto" w:line="288" w:before="180" w:after="1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contract liabilities in the accompanying Consolidated Balance Sheets consisted of the following amounts as of June 30, 2026 and December 31, 2025 (in thousands):</w:t>
      </w:r>
    </w:p>
    <w:tbl>
      <w:tblPr>
        <w:tblW w:w="5927" w:type="dxa"/>
        <w:jc w:val="center"/>
        <w:tblInd w:w="0" w:type="dxa"/>
        <w:tblLayout w:type="fixed"/>
        <w:tblCellMar>
          <w:top w:w="28" w:type="dxa"/>
          <w:left w:w="28" w:type="dxa"/>
          <w:bottom w:w="28" w:type="dxa"/>
          <w:right w:w="28" w:type="dxa"/>
        </w:tblCellMar>
      </w:tblPr>
      <w:tblGrid>
        <w:gridCol w:w="972"/>
        <w:gridCol w:w="855"/>
        <w:gridCol w:w="857"/>
        <w:gridCol w:w="211"/>
        <w:gridCol w:w="1051"/>
        <w:gridCol w:w="109"/>
        <w:gridCol w:w="109"/>
        <w:gridCol w:w="109"/>
        <w:gridCol w:w="109"/>
        <w:gridCol w:w="230"/>
        <w:gridCol w:w="1147"/>
        <w:gridCol w:w="168"/>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337,717 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non-current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(2,327,360)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non-current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(2,209,502)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(1,990,480)</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increased by approximately $2.0 million and $1.7 million, respectively, as a result of acquisitions made by us during the first half of 2026. Excluding the impact of acquisitions, net contract liabilities increased by $219.3 million during the six months ended June 30, 2026, primarily due to an increase in net contract liabilities on our uncompleted construction projects, partially as a result of the timing of invoicing to our customers, including advanced billings on several projects in the earlier stages of completion, as we continue to effectively manage our working capital. There was no significant impairment of contract assets recognized during the periods presented.</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00" w:after="283"/>
        <w:jc w:val="both"/>
        <w:rPr/>
      </w:pPr>
      <w:r>
        <w:rPr>
          <w:rFonts w:ascii="Times New Roman;serif" w:hAnsi="Times New Roman;serif"/>
          <w:b/>
          <w:color w:val="000000"/>
          <w:sz w:val="20"/>
        </w:rPr>
        <w:t>NOTE 3 - Revenue from Contracts with Customers (Continued)</w:t>
      </w:r>
      <w:r>
        <w:rPr>
          <w:color w:val="000000"/>
        </w:rPr>
        <w:t xml:space="preserve"> </w:t>
      </w:r>
    </w:p>
    <w:p>
      <w:pPr>
        <w:pStyle w:val="TextBody"/>
        <w:bidi w:val="0"/>
        <w:spacing w:lineRule="auto" w:line="288" w:before="180" w:after="283"/>
        <w:jc w:val="both"/>
        <w:rPr/>
      </w:pPr>
      <w:r>
        <w:rPr>
          <w:rFonts w:ascii="Times New Roman;serif" w:hAnsi="Times New Roman;serif"/>
          <w:b w:val="false"/>
          <w:i/>
          <w:color w:val="000000"/>
          <w:sz w:val="20"/>
        </w:rPr>
        <w:t xml:space="preserve">Transaction Price Allocated to Remaining Unsatisfied Performance Obligations </w:t>
      </w:r>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transaction price allocated to remaining unsatisfied performance obligations (“remaining performance obligations”) for each of our reportable segments and their respective percentages of total remaining performance obligations as of June 30, 2026 (in thousands, except for percentages):</w:t>
      </w:r>
    </w:p>
    <w:tbl>
      <w:tblPr>
        <w:tblW w:w="7779" w:type="dxa"/>
        <w:jc w:val="center"/>
        <w:tblInd w:w="0" w:type="dxa"/>
        <w:tblLayout w:type="fixed"/>
        <w:tblCellMar>
          <w:top w:w="28" w:type="dxa"/>
          <w:left w:w="28" w:type="dxa"/>
          <w:bottom w:w="28" w:type="dxa"/>
          <w:right w:w="28" w:type="dxa"/>
        </w:tblCellMar>
      </w:tblPr>
      <w:tblGrid>
        <w:gridCol w:w="1820"/>
        <w:gridCol w:w="1597"/>
        <w:gridCol w:w="1607"/>
        <w:gridCol w:w="211"/>
        <w:gridCol w:w="1081"/>
        <w:gridCol w:w="109"/>
        <w:gridCol w:w="109"/>
        <w:gridCol w:w="109"/>
        <w:gridCol w:w="109"/>
        <w:gridCol w:w="247"/>
        <w:gridCol w:w="219"/>
        <w:gridCol w:w="561"/>
      </w:tblGrid>
      <w:tr>
        <w:trPr/>
        <w:tc>
          <w:tcPr>
            <w:tcW w:w="182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17,143,101 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remaining performance obligations at June 30, 2026 were $17.14 billion. Remaining performance obligations increase with awards of new contracts and decrease as we perform work and recognize revenue on existing contracts. We include a project within our remaining performance obligations at such time the project is awarded and agreement on contract terms has been reached. Our remaining performance obligations include amounts related to contracts for which a fixed price contract value is not assigned when a reasonable estimate of the total transaction price can be made.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include unrecognized revenues to be realized from uncompleted construction contracts. Although many of our construction contracts are subject to cancellation at the election of our customers, in accordance with industry practice, we do not limit the amount of unrecognized revenue included within remaining performance obligations for these contracts as the risk of cancellation is very low due to the inherent substantial economic penalty that our customers would incur upon cancellation or termination. We believe our reported remaining performance obligations for our construction contracts are firm and contract cancellations have not had a material adverse effect on us.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also include unrecognized revenues expected to be realized over the remaining term of service contracts. However, to the extent a service contract includes a cancellation clause which allows for the termination of such contract by either party without a substantive penalty, the remaining contract term, and therefore, the amount of unrecognized revenues included within remaining performance obligations, is limited to the notice period required for the termination.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remaining performance obligations are comprised of: (a) original contract amounts, (b) change orders for which we have received written confirmations from our customers, (c) pending change orders for which we expect to receive confirmations in the ordinary course of business, (d) claim amounts that we have made against customers for which we have determined we have a legal basis under existing contractual arrangements and as to which the variable consideration constraint does not apply, and (e) other forms of variable consideration to the extent that such variable consideration has been included within the transaction price of our contracts. Such claim and other variable consideration amounts were immaterial for all periods presented.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Refer to the table below for additional information regarding our remaining performance obligations, including an estimate of when we expect to recognize such remaining performance obligations as revenue (in thousands): </w:t>
      </w:r>
    </w:p>
    <w:tbl>
      <w:tblPr>
        <w:tblW w:w="8537" w:type="dxa"/>
        <w:jc w:val="center"/>
        <w:tblInd w:w="0" w:type="dxa"/>
        <w:tblLayout w:type="fixed"/>
        <w:tblCellMar>
          <w:top w:w="28" w:type="dxa"/>
          <w:left w:w="28" w:type="dxa"/>
          <w:bottom w:w="28" w:type="dxa"/>
          <w:right w:w="28" w:type="dxa"/>
        </w:tblCellMar>
      </w:tblPr>
      <w:tblGrid>
        <w:gridCol w:w="1820"/>
        <w:gridCol w:w="1597"/>
        <w:gridCol w:w="1607"/>
        <w:gridCol w:w="211"/>
        <w:gridCol w:w="1081"/>
        <w:gridCol w:w="109"/>
        <w:gridCol w:w="109"/>
        <w:gridCol w:w="109"/>
        <w:gridCol w:w="109"/>
        <w:gridCol w:w="281"/>
        <w:gridCol w:w="1299"/>
        <w:gridCol w:w="205"/>
      </w:tblGrid>
      <w:tr>
        <w:trPr/>
        <w:tc>
          <w:tcPr>
            <w:tcW w:w="182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one year</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1,613,757 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2,361,342 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4,119,674 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 Acquisitions and Dispositions of Businesses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Acquisitions are accounted for utilizing the acquisition method of accounting and the prices paid for them are allocated to their respective assets and liabilities based upon the estimated fair value of such assets and liabilities at the dates of their respective acquisition by us.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half of 2026, we acquired four companies for upfront consideration of $99.8 million, inclusive of customary working capital adjustments. These acquisitions are comprised of: (a) two companies in the Western region of the United States that have been included in our United States mechanical construction and facilities services segment, including: (i) a provider of mechanical and sheet metal fabrication services, and (ii) a commercial and industrial HVAC contractor, (b) an electrical contractor in the Midwestern region of the United States that has been included in our United States electrical construction and facilities services segment, and (c) a company that has been included in our United States building services segment, which provides building automation and controls solutions in the Southeastern region of the United States. In connection with these acquisitions, we acquired working capital of $13.5 million and other net assets of $2.7 million and have preliminarily ascribed $45.3 million to goodwill and $38.3 million to identifiable intangible assets.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3, 2025, we completed the acquisition of Miller Electric Company (“Miller Electric”), a leading electrical contractor that operates predominantly across the Southeastern United States. Under the terms of the transaction, we acquired 100% of Miller Electric's capital stock for total cash consideration of $876.8 million, inclusive of working capital and other customary adjustments. This acquisition complements our existing electrical construction capabilities in high-growth end markets and expands our geographic presence. The results of operations of Miller Electric have been included within our United States electrical construction and facilities services segment. In connection with this acquisition, we incurred $9.4 million of transaction related costs during the first quarter of 2025. These expenses were included in "Selling, general and administrative expenses" in the accompanying Consolidated Statement of Operations.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values of the assets acquired and liabilities assumed as of the acquisition date (in thousands):</w:t>
      </w:r>
    </w:p>
    <w:tbl>
      <w:tblPr>
        <w:tblW w:w="4548" w:type="dxa"/>
        <w:jc w:val="left"/>
        <w:tblInd w:w="0" w:type="dxa"/>
        <w:tblLayout w:type="fixed"/>
        <w:tblCellMar>
          <w:top w:w="28" w:type="dxa"/>
          <w:left w:w="28" w:type="dxa"/>
          <w:bottom w:w="28" w:type="dxa"/>
          <w:right w:w="28" w:type="dxa"/>
        </w:tblCellMar>
      </w:tblPr>
      <w:tblGrid>
        <w:gridCol w:w="1041"/>
        <w:gridCol w:w="916"/>
        <w:gridCol w:w="923"/>
        <w:gridCol w:w="109"/>
        <w:gridCol w:w="109"/>
        <w:gridCol w:w="109"/>
        <w:gridCol w:w="211"/>
        <w:gridCol w:w="97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8"/>
        </w:rPr>
        <w:t>_________________________</w:t>
      </w:r>
    </w:p>
    <w:p>
      <w:pPr>
        <w:pStyle w:val="TextBody"/>
        <w:bidi w:val="0"/>
        <w:spacing w:lineRule="auto" w:line="288" w:before="8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(1)Goodwill is calculated as the excess of the consideration transferred over the fair value of the net assets acquired and represents the projected future economic benefits from this strategic acquisition.</w:t>
      </w:r>
    </w:p>
    <w:tbl>
      <w:tblPr>
        <w:tblW w:w="4713" w:type="dxa"/>
        <w:jc w:val="left"/>
        <w:tblInd w:w="0" w:type="dxa"/>
        <w:tblLayout w:type="fixed"/>
        <w:tblCellMar>
          <w:top w:w="28" w:type="dxa"/>
          <w:left w:w="28" w:type="dxa"/>
          <w:bottom w:w="28" w:type="dxa"/>
          <w:right w:w="28" w:type="dxa"/>
        </w:tblCellMar>
      </w:tblPr>
      <w:tblGrid>
        <w:gridCol w:w="1156"/>
        <w:gridCol w:w="1017"/>
        <w:gridCol w:w="1022"/>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40" w:after="283"/>
        <w:jc w:val="both"/>
        <w:rPr>
          <w:rFonts w:ascii="Times New Roman;serif" w:hAnsi="Times New Roman;serif"/>
          <w:b/>
          <w:color w:val="000000"/>
          <w:sz w:val="20"/>
        </w:rPr>
      </w:pPr>
      <w:r>
        <w:rPr>
          <w:rFonts w:ascii="Times New Roman;serif" w:hAnsi="Times New Roman;serif"/>
          <w:b/>
          <w:color w:val="000000"/>
          <w:sz w:val="20"/>
        </w:rPr>
        <w:t>NOTE 4 - Acquisitions and Dispositions of Businesses (Continued)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values of identifiable intangible assets (in thousands) and their estimated useful lives (in years). Refer to Note 8 - Fair Value Measurements of the notes to consolidated financial statements for additional information on the valuation methodologies utilized to determine fair value.</w:t>
      </w:r>
    </w:p>
    <w:tbl>
      <w:tblPr>
        <w:tblW w:w="6615" w:type="dxa"/>
        <w:jc w:val="left"/>
        <w:tblInd w:w="0" w:type="dxa"/>
        <w:tblLayout w:type="fixed"/>
        <w:tblCellMar>
          <w:top w:w="28" w:type="dxa"/>
          <w:left w:w="28" w:type="dxa"/>
          <w:bottom w:w="28" w:type="dxa"/>
          <w:right w:w="28" w:type="dxa"/>
        </w:tblCellMar>
      </w:tblPr>
      <w:tblGrid>
        <w:gridCol w:w="1401"/>
        <w:gridCol w:w="1228"/>
        <w:gridCol w:w="1240"/>
        <w:gridCol w:w="109"/>
        <w:gridCol w:w="109"/>
        <w:gridCol w:w="109"/>
        <w:gridCol w:w="211"/>
        <w:gridCol w:w="826"/>
        <w:gridCol w:w="109"/>
        <w:gridCol w:w="109"/>
        <w:gridCol w:w="109"/>
        <w:gridCol w:w="109"/>
        <w:gridCol w:w="276"/>
        <w:gridCol w:w="276"/>
        <w:gridCol w:w="394"/>
      </w:tblGrid>
      <w:tr>
        <w:trPr/>
        <w:tc>
          <w:tcPr>
            <w:tcW w:w="140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Miller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Estimated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Estimated</w:t>
              <w:br/>
              <w:t>Useful Life</w:t>
            </w:r>
          </w:p>
        </w:tc>
      </w:tr>
      <w:tr>
        <w:trPr/>
        <w:tc>
          <w:tcPr>
            <w:tcW w:w="38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Miller Electric, during calendar year 2025, we acquired nine companies, for upfront consideration of $182.3 million, inclusive of customary working capital adjustments. These acquisitions are comprised of: (a) five companies that have been included in our United States mechanical construction and facilities services segment, including: (i) two companies in the Midwestern region of the United States that provide building automation controls and solutions to commercial, institutional, and industrial customers, (ii) a company that adds capabilities to our national fire protection offerings, (iii) a provider of mechanical construction and maintenance services in the Western region of the United States, and (iv) a full service mechanical contractor in the Northeast region of the United States, and (b) four companies that have been included in our United States building services segment, which enhance our building automation and controls or energy efficiency offerings. In connection with these acquisitions, we acquired working capital of $2.0 million and other net assets of $8.2 million and have preliminarily ascribed $67.4 million to goodwill and $104.7 million to identifiable intangible assets.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that all of the goodwill and identifiable intangible assets acquired in connection with these acquisitions will be deductible for tax purposes. The purchase price allocations for the businesses acquired in 2026 and one of the businesses acquired in 2025 are preliminary and subject to change during their respective measurement periods as we finalize asset valuations and certain tax matters, among other items. The finalization of these items may result in changes in the valuation of assets acquired or liabilities assumed. The purchase price allocations for the other businesses acquired in 2025 have been finalized during their respective measurement periods with an insignificant impact.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 2025, we completed the sale of EMCOR UK. Given the size of EMCOR UK, this transaction did not represent a strategic shift that had a major effect on the Company’s operations and financial results and, therefore, is not presented as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 Earnings Per Share</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Calculation of Basic and Diluted Earnings per Common Share</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our calculation of Basic and Diluted Earnings per Common Share (“EPS”) for the three and six months ended June 30, 2026 and 2025 (in thousands, except share and per share data): </w:t>
      </w:r>
    </w:p>
    <w:tbl>
      <w:tblPr>
        <w:tblW w:w="9996" w:type="dxa"/>
        <w:jc w:val="left"/>
        <w:tblInd w:w="0" w:type="dxa"/>
        <w:tblLayout w:type="fixed"/>
        <w:tblCellMar>
          <w:top w:w="28" w:type="dxa"/>
          <w:left w:w="28" w:type="dxa"/>
          <w:bottom w:w="28" w:type="dxa"/>
          <w:right w:w="28" w:type="dxa"/>
        </w:tblCellMar>
      </w:tblPr>
      <w:tblGrid>
        <w:gridCol w:w="2620"/>
        <w:gridCol w:w="2304"/>
        <w:gridCol w:w="2320"/>
        <w:gridCol w:w="219"/>
        <w:gridCol w:w="862"/>
        <w:gridCol w:w="109"/>
        <w:gridCol w:w="109"/>
        <w:gridCol w:w="109"/>
        <w:gridCol w:w="109"/>
        <w:gridCol w:w="219"/>
        <w:gridCol w:w="862"/>
        <w:gridCol w:w="154"/>
      </w:tblGrid>
      <w:tr>
        <w:trPr/>
        <w:tc>
          <w:tcPr>
            <w:tcW w:w="2620"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used to compute basic earnings per common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44,833,638 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diluted earnings per common share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44,552,894 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44,990,388 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80" w:after="20"/>
        <w:jc w:val="left"/>
        <w:rPr>
          <w:rFonts w:ascii="Times New Roman;serif" w:hAnsi="Times New Roman;serif"/>
          <w:b/>
          <w:color w:val="000000"/>
          <w:sz w:val="20"/>
        </w:rPr>
      </w:pPr>
      <w:r>
        <w:rPr>
          <w:rFonts w:ascii="Times New Roman;serif" w:hAnsi="Times New Roman;serif"/>
          <w:b/>
          <w:color w:val="000000"/>
          <w:sz w:val="20"/>
        </w:rPr>
        <w:t>NOTE 5 - Earnings Per Share (Continued)</w:t>
      </w:r>
    </w:p>
    <w:tbl>
      <w:tblPr>
        <w:tblW w:w="9996" w:type="dxa"/>
        <w:jc w:val="left"/>
        <w:tblInd w:w="0" w:type="dxa"/>
        <w:tblLayout w:type="fixed"/>
        <w:tblCellMar>
          <w:top w:w="28" w:type="dxa"/>
          <w:left w:w="28" w:type="dxa"/>
          <w:bottom w:w="28" w:type="dxa"/>
          <w:right w:w="28" w:type="dxa"/>
        </w:tblCellMar>
      </w:tblPr>
      <w:tblGrid>
        <w:gridCol w:w="2620"/>
        <w:gridCol w:w="2304"/>
        <w:gridCol w:w="2320"/>
        <w:gridCol w:w="219"/>
        <w:gridCol w:w="862"/>
        <w:gridCol w:w="109"/>
        <w:gridCol w:w="109"/>
        <w:gridCol w:w="109"/>
        <w:gridCol w:w="109"/>
        <w:gridCol w:w="219"/>
        <w:gridCol w:w="862"/>
        <w:gridCol w:w="154"/>
      </w:tblGrid>
      <w:tr>
        <w:trPr/>
        <w:tc>
          <w:tcPr>
            <w:tcW w:w="2620"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used to compute basic earnings per common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45,227,690 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diluted earnings per common share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44,619,442 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45,380,744 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number of share-based awards excluded from the computation of diluted EPS for the three and six months ended June 30, 2026 because they would be anti-dilutive were 1,365 and 3,427, respectively. The number of share-based awards excluded from the computation of diluted EPS for both the three and six months ended June 30, 2025 because they would be anti-dilutive were 3,635.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Inventories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Inventories in the accompanying Consolidated Balance Sheets consisted of the following amounts as of June 30, 2026 and December 31, 2025 (in thousands):</w:t>
      </w:r>
    </w:p>
    <w:tbl>
      <w:tblPr>
        <w:tblW w:w="6113" w:type="dxa"/>
        <w:jc w:val="center"/>
        <w:tblInd w:w="0" w:type="dxa"/>
        <w:tblLayout w:type="fixed"/>
        <w:tblCellMar>
          <w:top w:w="28" w:type="dxa"/>
          <w:left w:w="28" w:type="dxa"/>
          <w:bottom w:w="28" w:type="dxa"/>
          <w:right w:w="28" w:type="dxa"/>
        </w:tblCellMar>
      </w:tblPr>
      <w:tblGrid>
        <w:gridCol w:w="1249"/>
        <w:gridCol w:w="1097"/>
        <w:gridCol w:w="1103"/>
        <w:gridCol w:w="211"/>
        <w:gridCol w:w="826"/>
        <w:gridCol w:w="109"/>
        <w:gridCol w:w="109"/>
        <w:gridCol w:w="109"/>
        <w:gridCol w:w="109"/>
        <w:gridCol w:w="211"/>
        <w:gridCol w:w="82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construction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inventories as of June 30, 2026, compared to December 31, 2025, was a result of: (a) advanced purchases of materials and equipment for use on specific construction projects, partially in an effort to mitigate the impact of long lead times, (b) an increase in raw materials on hand to support our fabrication facilities, and (c) higher levels of work in process inventory within our United States industrial services segment due to greater new build heat exchanger orders.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7 - Debt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Excluding finance lease liabilities of $6.1 million at June 30, 2026 and $6.3 million at December 31, 2025, we had no outstanding debt as of June 30, 2026 and December 31, 2025. The current portion of our finance lease liabilities of $2.5 million and $2.4 million at June 30, 2026 and December 31, 2025, respectively, were included in “Other accrued expenses and liabilities,” and the non-current portion of our finance lease liabilities of $3.6 million and $3.9 million at June 30, 2026 and December 31, 2025, respectively, were included in “Other long-term obligations” in the accompanying Consolidated Balance Sheets.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credit agreement dated December 20, 2023 (the “2023 Credit Agreement”), which provides for a $1.30 billion revolving credit facility (the “2023 Revolving Credit Facility”) expiring December 20, 2028. If additional lenders are identified and/or existing lenders are willing to increase their current commitments, we may increase the 2023 Revolving Credit Facility by an amount equal to the greater of: (a) $900 million or (b) the Company’s Adjusted EBITDA (as such term is defined in the 2023 Credit Agreement) for the twelve-month period ending immediately prior to the increase in commitment. We may allocate up to $600.0 million of available capacity under the 2023 Revolving Credit Facility to letters of credit for our account or for the account of any of our subsidiaries.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direct borrowings outstanding under the 2023 Revolving Credit Facility as of June 30, 2026 and December 31, 2025. However, outstanding letters of credit reduce the available capacity under this facility and, as of June 30, 2026 and December 31, 2025, we had $73.4 million and $73.1 million of letters of credit outstanding,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 Debt (Continued)</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Company’s election, borrowings under the 2023 Revolving Credit Facility bear interest at either: (1) a base rate plus a margin of 0.125% to 0.875%, depending on the Company’s Leverage Ratio (as such term is defined in the 2023 Credit Agreement), or (2) a rate equal to the secured overnight financing rate as administered by the Federal Reserve Bank of New York for the applicable tenor plus 0.10% (“Adjusted Term SOFR”) plus a margin of 1.125% to 1.875%, depending on the Company’s Leverage Ratio. The base rate is determined by the greater of: (a) the prime commercial lending rate announced by Bank of Montreal from time to time, (b) the federal funds effective rate, plus ½ of 1.00%, (c) Adjusted Term SOFR for a one-month tenor, plus 1.00%, or (d) 0.00%.</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 commitment fee is payable on the average daily unused amount of the 2023 Revolving Credit Facility, which ranges from 0.125% to 0.25%, depending on the Company’s Leverage Ratio. The fee was 0.125% of the unused amount as of June 30, 2026 and December 31, 2025. Fees for letters of credit issued under the 2023 Revolving Credit Facility range from 0.85% to 1.875% of the respective face amounts of outstanding letters of credit, depending on the nature of the letter of credit, and are computed depending on the Company’s Leverage Ratio. </w:t>
      </w:r>
    </w:p>
    <w:p>
      <w:pPr>
        <w:pStyle w:val="TextBody"/>
        <w:bidi w:val="0"/>
        <w:spacing w:lineRule="auto" w:line="288" w:before="160" w:after="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Obligations under the 2023 Credit Agreement are guaranteed by most of our direct and indirect subsidiaries and are secured by substantially all of our assets. The 2023 Credit Agreement contains customary covenants providing for, among other things, the maintenance of certain financial ratios and certain limitations on the payment of dividends, common stock repurchases, investments, acquisitions, indebtedness, and capital expenditures. We were in compliance with all such covenants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8 - Fair Value Measurements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disclosure purposes, we utilize a fair value hierarchy to categorize qualifying assets and liabilities into three broad levels based on the priority of the inputs used to determine their fair values. The hierarchy, which gives the highest priority to unadjusted quoted prices in active markets for identical assets and liabilities and the lowest priority to unobservable inputs, is comprised of the following three levels: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1 – Unadjusted quoted prices in active markets for identical assets and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2 – Observable inputs, other than Level 1 inputs, that are directly or indirectly observable for the asset or liability, including quoted prices for similar assets and liabilities in active markets; quoted prices for identical or similar assets or liabilities in markets that are not active; and model-derived valuations whose inputs are observable or whose significant value drivers are observable.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3 – Significant unobservable inputs that reflect the reporting entity’s own assumptions.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Recurring Fair Value Measurements</w:t>
      </w:r>
    </w:p>
    <w:p>
      <w:pPr>
        <w:pStyle w:val="TextBody"/>
        <w:bidi w:val="0"/>
        <w:spacing w:lineRule="auto" w:line="288" w:before="80" w:after="283"/>
        <w:ind w:left="0" w:right="0" w:firstLine="450"/>
        <w:jc w:val="both"/>
        <w:rPr/>
      </w:pPr>
      <w:r>
        <w:rPr>
          <w:rFonts w:ascii="Times New Roman;serif" w:hAnsi="Times New Roman;serif"/>
          <w:b w:val="false"/>
          <w:color w:val="000000"/>
          <w:sz w:val="20"/>
        </w:rPr>
        <w:t xml:space="preserve">The following tables summarize the assets and liabilities carried at fair value measured on a recurring basis as of June 30, 2026 and December 31, 2025 (in thousands): </w:t>
      </w:r>
      <w:r>
        <w:rPr>
          <w:color w:val="000000"/>
        </w:rPr>
        <w:t> </w:t>
      </w:r>
    </w:p>
    <w:tbl>
      <w:tblPr>
        <w:tblW w:w="8190" w:type="dxa"/>
        <w:jc w:val="center"/>
        <w:tblInd w:w="0" w:type="dxa"/>
        <w:tblLayout w:type="fixed"/>
        <w:tblCellMar>
          <w:top w:w="28" w:type="dxa"/>
          <w:left w:w="28" w:type="dxa"/>
          <w:bottom w:w="28" w:type="dxa"/>
          <w:right w:w="28" w:type="dxa"/>
        </w:tblCellMar>
      </w:tblPr>
      <w:tblGrid>
        <w:gridCol w:w="1131"/>
        <w:gridCol w:w="992"/>
        <w:gridCol w:w="997"/>
        <w:gridCol w:w="211"/>
        <w:gridCol w:w="976"/>
        <w:gridCol w:w="109"/>
        <w:gridCol w:w="109"/>
        <w:gridCol w:w="109"/>
        <w:gridCol w:w="109"/>
        <w:gridCol w:w="211"/>
        <w:gridCol w:w="406"/>
        <w:gridCol w:w="109"/>
        <w:gridCol w:w="109"/>
        <w:gridCol w:w="109"/>
        <w:gridCol w:w="109"/>
        <w:gridCol w:w="211"/>
        <w:gridCol w:w="406"/>
        <w:gridCol w:w="109"/>
        <w:gridCol w:w="109"/>
        <w:gridCol w:w="109"/>
        <w:gridCol w:w="109"/>
        <w:gridCol w:w="211"/>
        <w:gridCol w:w="97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 at Fair Value as of June 30, 2026</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 Category</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and cash equivalents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compensation plan assets </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90" w:type="dxa"/>
        <w:jc w:val="left"/>
        <w:tblInd w:w="0" w:type="dxa"/>
        <w:tblLayout w:type="fixed"/>
        <w:tblCellMar>
          <w:top w:w="28" w:type="dxa"/>
          <w:left w:w="28" w:type="dxa"/>
          <w:bottom w:w="28" w:type="dxa"/>
          <w:right w:w="28" w:type="dxa"/>
        </w:tblCellMar>
      </w:tblPr>
      <w:tblGrid>
        <w:gridCol w:w="1131"/>
        <w:gridCol w:w="992"/>
        <w:gridCol w:w="997"/>
        <w:gridCol w:w="211"/>
        <w:gridCol w:w="976"/>
        <w:gridCol w:w="109"/>
        <w:gridCol w:w="109"/>
        <w:gridCol w:w="109"/>
        <w:gridCol w:w="109"/>
        <w:gridCol w:w="211"/>
        <w:gridCol w:w="406"/>
        <w:gridCol w:w="109"/>
        <w:gridCol w:w="109"/>
        <w:gridCol w:w="109"/>
        <w:gridCol w:w="109"/>
        <w:gridCol w:w="211"/>
        <w:gridCol w:w="406"/>
        <w:gridCol w:w="109"/>
        <w:gridCol w:w="109"/>
        <w:gridCol w:w="109"/>
        <w:gridCol w:w="109"/>
        <w:gridCol w:w="211"/>
        <w:gridCol w:w="97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Assets at Fair Value as of December 31, 2025</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 Category</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and cash equivalents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compensation plan assets </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8"/>
        </w:rPr>
        <w:t>_________________________</w:t>
      </w:r>
    </w:p>
    <w:p>
      <w:pPr>
        <w:pStyle w:val="TextBody"/>
        <w:bidi w:val="0"/>
        <w:spacing w:lineRule="auto" w:line="288" w:before="8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(1)Cash and cash equivalents consist of deposit accounts and money market funds with original maturity dates of three months or less, which are Level 1 assets. At June 30, 2026 and December 31, 2025, we had $556.4 million and $870.5 million, respectively, in money market funds. From time to time, we have cash balances in certain of our bank accounts that exceed federally insured limits.</w:t>
      </w:r>
    </w:p>
    <w:p>
      <w:pPr>
        <w:pStyle w:val="TextBody"/>
        <w:bidi w:val="0"/>
        <w:spacing w:lineRule="auto" w:line="288" w:before="8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 xml:space="preserve">(2)Deferred compensation plan assets are classified as “Other assets” 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8 - Fair Value Measurements (Continued)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Nonrecurring Fair Value Measurements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recorded goodwill and identifiable intangible assets in connection with our business acquisitions. Such assets are measured at fair value at the time of acquisition based on valuation techniques that appropriately represent the methods which would be used by other market participants in determining fair value. We determine the fair value of our trade name intangible assets by utilizing the relief from royalty payments methodology. This approach involves two steps: (a) estimating a reasonable royalty rate for the trade name and (b) applying this royalty rate to a net revenue stream and discounting the resulting cash flows to determine fair value. Key assumptions under this method are future revenues, royalty rate, and discount rate. The fair value of our intangible assets related to contract backlog and customer relationships is determined using the multi-period excess earnings method. Key assumptions in the valuation of customer relationship intangible assets are revenue growth, operating margin, customer attrition rate, and discount rate. Backlog intangible assets are based on future revenue from contracts already awarded at the time of acquisition. Key assumptions in the valuation of backlog intangible assets include operating margin and discount rate. Other assumptions utilized in these valuation techniques include tax rate and contributory asset charges.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goodwill, intangible assets, and certain other long-lived assets are tested for impairment using similar valuation methodologies to determine the fair value of such assets.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Periodically, we engage an independent third-party valuation specialist to assist with the valuation process, including the selection of appropriate methodologies and the development of market-based assumptions. The inputs used for these nonrecurring fair value measurements represent Level 3 inputs.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the carrying values of our financial instruments, which include accounts receivable and other financing commitments, approximate their fair values due primarily to their short-term maturities and low risk of counterparty default. Although there were no outstanding borrowings under our 2023 Credit Agreement as of June 30, 2026 and December 31, 2025, the carrying value of any debt associated with this agreement would approximate its fair value due to the variable rate on such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9 - Income Taxes </w:t>
      </w:r>
    </w:p>
    <w:p>
      <w:pPr>
        <w:pStyle w:val="TextBody"/>
        <w:bidi w:val="0"/>
        <w:spacing w:lineRule="auto" w:line="276"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income tax provision and our income tax rate for the three and six months ended June 30, 2026 and 2025 (in thousands, except percentages): </w:t>
      </w:r>
    </w:p>
    <w:tbl>
      <w:tblPr>
        <w:tblW w:w="8103" w:type="dxa"/>
        <w:jc w:val="left"/>
        <w:tblInd w:w="0" w:type="dxa"/>
        <w:tblLayout w:type="fixed"/>
        <w:tblCellMar>
          <w:top w:w="28" w:type="dxa"/>
          <w:left w:w="28" w:type="dxa"/>
          <w:bottom w:w="28" w:type="dxa"/>
          <w:right w:w="28" w:type="dxa"/>
        </w:tblCellMar>
      </w:tblPr>
      <w:tblGrid>
        <w:gridCol w:w="667"/>
        <w:gridCol w:w="588"/>
        <w:gridCol w:w="590"/>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193,387 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U.S. statutory tax rate of 21% and our effective income tax rate for both the three and six months ended June 30, 2026 and 2025 was primarily a result of state and local income taxes and other permanent book-to-tax differences.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our income tax provision for the three and six months ended June 30, 2026, when compared to the three and six months ended June 30, 2025, was primarily due to greater income before income taxes.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no unrecognized income tax benefits.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file a consolidated federal income tax return including all of our U.S. subsidiaries with the Internal Revenue Service. We additionally file income tax returns with various state, local, and foreign tax agencies. Our income tax returns are subject to audit by various taxing authorities and are currently under examination by certain states for the years 2021 through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10 - Common Stock        </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were 44,240,047 and 44,520,367 shares of our common stock outstanding, respectively. During the three months ended June 30, 2026 and 2025, we issued 10,268 and 5,106 shares of common stock, respectively. During the six months ended June 30, 2026 and 2025, we issued 51,847 and 57,381 shares of common stock, respectively. These shares were issued upon the satisfaction of required conditions under our share-based compensation plans.</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paid quarterly dividends since October 25, 2011. We currently pay a regular quarterly dividend of $0.40 per share.</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2011, our Board of Directors (the “Board”) authorized a share repurchase program allowing us to begin repurchasing shares of our outstanding common stock. Subsequently, the Board has from time to time increased the amount authorized for repurchases under such program. Since the inception of the repurchase program, through June 30, 2026, the Board has authorized us to repurchase up to $3.65 billion of our outstanding common stock. During the three months ended June 30, 2026, we repurchased 0.2 million shares of our common stock for $177.7 million. During the six months ended June 30, 2026, we repurchased 0.3 million shares of our common stock for $265.3 million. Since the inception of the repurchase program through June 30, 2026, we have repurchased 28.8 million shares of our common stock for $3.23 billion. As of June 30, 2026, there remained authorization for us to repurchase $415.2 million of our shares. The repurchase program has no expiration date, does not obligate the Company to acquire any particular amount of common stock, and may be suspended, recommenced, or discontinued at any time or from time to time without prior notice. We may repurchase our shares from time to time to the extent permitted by securities laws and other legal requirements, including provisions in our 2023 Credit Agreement placing limitations on such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11 - Commitments and Contingencies</w:t>
      </w:r>
    </w:p>
    <w:p>
      <w:pPr>
        <w:pStyle w:val="TextBody"/>
        <w:bidi w:val="0"/>
        <w:spacing w:lineRule="auto" w:line="288" w:before="1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Severance Agreements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agreements with our executive officers and certain other key management personnel providing for severance benefits for such employees upon termination of their employment under certain circumstances. </w:t>
      </w:r>
    </w:p>
    <w:p>
      <w:pPr>
        <w:pStyle w:val="TextBody"/>
        <w:bidi w:val="0"/>
        <w:spacing w:lineRule="auto" w:line="288" w:before="140" w:after="283"/>
        <w:jc w:val="left"/>
        <w:rPr>
          <w:rFonts w:ascii="Times New Roman;serif" w:hAnsi="Times New Roman;serif"/>
          <w:b w:val="false"/>
          <w:i/>
          <w:color w:val="000000"/>
          <w:sz w:val="20"/>
        </w:rPr>
      </w:pPr>
      <w:r>
        <w:rPr>
          <w:rFonts w:ascii="Times New Roman;serif" w:hAnsi="Times New Roman;serif"/>
          <w:b w:val="false"/>
          <w:i/>
          <w:color w:val="000000"/>
          <w:sz w:val="20"/>
        </w:rPr>
        <w:t>Guarantees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at times, guarantee obligations of our subsidiaries under certain contracts. Generally, we are liable under such an arrangement only if our subsidiary fails to perform its obligations under the contract. Historically, we have not incurred any substantial liabilities as a consequence of these guarantees. </w:t>
      </w:r>
    </w:p>
    <w:p>
      <w:pPr>
        <w:pStyle w:val="TextBody"/>
        <w:bidi w:val="0"/>
        <w:spacing w:lineRule="auto" w:line="288" w:before="140" w:after="283"/>
        <w:jc w:val="left"/>
        <w:rPr>
          <w:rFonts w:ascii="Times New Roman;serif" w:hAnsi="Times New Roman;serif"/>
          <w:b w:val="false"/>
          <w:i/>
          <w:color w:val="000000"/>
          <w:sz w:val="20"/>
        </w:rPr>
      </w:pPr>
      <w:r>
        <w:rPr>
          <w:rFonts w:ascii="Times New Roman;serif" w:hAnsi="Times New Roman;serif"/>
          <w:b w:val="false"/>
          <w:i/>
          <w:color w:val="000000"/>
          <w:sz w:val="20"/>
        </w:rPr>
        <w:t>Surety Bonds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As of June 30, 2026, based on the percentage-of-completion of our projects covered by surety bonds, our aggregate estimated exposure, assuming defaults on all our then existing contractual obligations, was $4.30 billion, which represents approximately 25% of our total remaining performance obligations. </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Surety bonds are sometimes provided to secure obligations for wages and benefits payable to or for certain of our employees, at the request of labor unions representing such employees. In addition, surety bonds may be issued as collateral for certain insurance obligations. As of June 30, 2026, we satisfied $105.5 million of the collateral requirements of our insurance programs by utilizing surety bonds. </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not aware of any losses in connection with surety bonds that have been posted on our behalf, and we do not expect to incur significant losses in the foreseeable future.</w:t>
      </w:r>
    </w:p>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Hazardous Materials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regulations with respect to the handling or disposal of certain materials used in the performance of our services, which are classified as hazardous or toxic by federal, state, and local agencies. Our practice is to avoid participation in projects principally involving the remediation or removal of such materials. However, when remediation is required as part of our contract performance, we believe we comply with all applicable regulations governing hazardous materials or otherwise relating to the protection of the environment.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11 - Commitments and Contingencies (Continued)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Government Contracts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we perform work as a federal government contractor/subcontractor or when we perform work on a project that has received federal government funding, we are subject to U.S. government audits and investigations relating to our operations, which such audits may result in fines, penalties and compensatory and treble damages, and possible suspension or debarment from doing business with the government. Based on currently available information, we believe the outcome of ongoing government disputes and investigations will not have a material impact on our financial position, results of operations, or liquidity.</w:t>
      </w:r>
    </w:p>
    <w:p>
      <w:pPr>
        <w:pStyle w:val="TextBody"/>
        <w:bidi w:val="0"/>
        <w:spacing w:lineRule="auto" w:line="288" w:before="180" w:after="283"/>
        <w:jc w:val="both"/>
        <w:rPr/>
      </w:pPr>
      <w:r>
        <w:rPr>
          <w:rFonts w:ascii="Times New Roman;serif" w:hAnsi="Times New Roman;serif"/>
          <w:b w:val="false"/>
          <w:i/>
          <w:color w:val="000000"/>
          <w:sz w:val="20"/>
        </w:rPr>
        <w:t>Legal Proceedings</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face potential exposure in several legal proceedings in which damages or claims (including, without limitation, indemnification claims by named defendants in legal proceedings in which we are not a party) have been asserted against us. We believe that we have valid defenses to such proceedings and claims, but litigation is inherently uncertain. We additionally maintain insurance coverage for certain of these matters, although these policies do not cover all possible claims and certain of the policies are subject to large deductibles and retentions. We do not believe that any such matters will have a material adverse effect on our financial position, results of operations, or liquidity. We record a loss contingency if we consider the potential loss from a proceeding or claim probable, and we are able to reasonably estimate the amount or can reasonably determine a range of loss. We provide disclosure when we believe a loss in excess of any recorded provision is reasonably possible. Significant judgment is required in these determinations. As additional information becomes available, we reassess prior determinations and may change our estimates. Additional claims may be asserted against us in the future. Litigation is subject to many uncertainties, and the outcome of litigation is not predictable with assurance. A litigation matter for which liabilities have not been recorded could be decided unfavorably to us, and any such unfavorable decision could have a material adverse effect on our financial position, results of operations, or liquidity.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10, 2024, a chemical release occurred at the PEMEX Deer Park Refinery in Deer Park, Texas. As a result of the release, two people were killed and approximately 200 others claim to have suffered bodily injuries. Several lawsuits were filed in Harris County, Texas on behalf of the various claimants. Those lawsuits were thereafter assigned the status of “multi-district litigation” and consolidated in the 281st District Court, Harris County. Repcon, Inc. (“Repcon”) and EMCOR Industrial Services, Inc. (“EIS”), indirect subsidiaries of the Company, have been named in several of the lawsuits, and Repcon has also been subject to contractual indemnification claims. Repcon expects to participate in mediations related to this matter. Based on currently available information, we believe insurance will cover much or all of any amounts required to be paid by Repcon or EIS in connection with these claims.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Insurance Liabilities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loss payment deductibles for certain workers’ compensation, automobile liability, general liability, and property claims, have self-insured retentions for certain other casualty claims, and are self-insured for employee-related healthcare claims. In addition, we maintain a wholly-owned captive insurance subsidiary to manage certain of our insurance liabilities. Losses are recorded based upon estimates of our liability for claims incurred and for claims incurred but not reported. The liabilities are derived from known facts, historical trends, and industry averages, utilizing the assistance of an independent third-party actuary to determine the best estimate for the majority of these obligations. To the extent that the amount required to settle claims covered by insurance continues to increase, the cost of our insurance coverage, including premiums and deductibles, is likely to increase. As of June 30, 2026 and December 31, 2025, the estimated current portion of such undiscounted insurance liabilities, included in “Other accrued expenses and liabilities” in the accompanying Consolidated Balance Sheets, were $95.1 million and $84.0 million, respectively. The estimated non-current portion of such undiscounted insurance liabilities included in “Other long-term obligations” as of June 30, 2026 and December 31, 2025 were $298.9 million and $274.1 million, respectively. The current portion of anticipated insurance recoveries of $15.0 million and $15.5 million as of June 30, 2026 and December 31, 2025, respectively, were included in “Prepaid expenses and other,” and the non-current portion of anticipated insurance recoveries of $48.6 million and $51.7 million as of June 30, 2026 and December 31, 2025, respectively, were included in “Other assets” in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12 - Additional Cash Flow Information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following table presents additional cash flow information for the six months ended June 30, 2026 and 2025 (in thousands): </w:t>
      </w:r>
      <w:r>
        <w:rPr>
          <w:color w:val="000000"/>
        </w:rPr>
        <w:t> </w:t>
      </w:r>
    </w:p>
    <w:tbl>
      <w:tblPr>
        <w:tblW w:w="8858" w:type="dxa"/>
        <w:jc w:val="center"/>
        <w:tblInd w:w="0" w:type="dxa"/>
        <w:tblLayout w:type="fixed"/>
        <w:tblCellMar>
          <w:top w:w="28" w:type="dxa"/>
          <w:left w:w="28" w:type="dxa"/>
          <w:bottom w:w="28" w:type="dxa"/>
          <w:right w:w="28" w:type="dxa"/>
        </w:tblCellMar>
      </w:tblPr>
      <w:tblGrid>
        <w:gridCol w:w="2237"/>
        <w:gridCol w:w="1966"/>
        <w:gridCol w:w="1991"/>
        <w:gridCol w:w="211"/>
        <w:gridCol w:w="826"/>
        <w:gridCol w:w="109"/>
        <w:gridCol w:w="109"/>
        <w:gridCol w:w="109"/>
        <w:gridCol w:w="109"/>
        <w:gridCol w:w="211"/>
        <w:gridCol w:w="826"/>
        <w:gridCol w:w="154"/>
      </w:tblGrid>
      <w:tr>
        <w:trPr/>
        <w:tc>
          <w:tcPr>
            <w:tcW w:w="223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
        <w:jc w:val="left"/>
        <w:rPr>
          <w:rFonts w:ascii="Times New Roman;serif" w:hAnsi="Times New Roman;serif"/>
          <w:b/>
          <w:color w:val="000000"/>
          <w:sz w:val="20"/>
        </w:rPr>
      </w:pPr>
      <w:r>
        <w:rPr>
          <w:rFonts w:ascii="Times New Roman;serif" w:hAnsi="Times New Roman;serif"/>
          <w:b/>
          <w:color w:val="000000"/>
          <w:sz w:val="20"/>
        </w:rPr>
        <w:t>NOTE 13 - Segment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Such operating subsidiaries are organized into the following reportable segments, which additionally reflect the nature of the services offered: </w:t>
      </w:r>
    </w:p>
    <w:p>
      <w:pPr>
        <w:pStyle w:val="TextBody"/>
        <w:bidi w:val="0"/>
        <w:spacing w:lineRule="auto" w:line="288" w:before="160" w:after="283"/>
        <w:ind w:left="0" w:right="0" w:hanging="270"/>
        <w:jc w:val="both"/>
        <w:rPr/>
      </w:pPr>
      <w:r>
        <w:rPr>
          <w:color w:val="000000"/>
        </w:rPr>
        <w:t>•</w:t>
      </w:r>
      <w:r>
        <w:rPr>
          <w:rFonts w:ascii="Times New Roman;serif" w:hAnsi="Times New Roman;serif"/>
          <w:b w:val="false"/>
          <w:color w:val="000000"/>
          <w:sz w:val="20"/>
        </w:rPr>
        <w:t>United States electrical construction and facilities services;</w:t>
      </w:r>
    </w:p>
    <w:p>
      <w:pPr>
        <w:pStyle w:val="TextBody"/>
        <w:bidi w:val="0"/>
        <w:spacing w:lineRule="auto" w:line="288" w:before="160" w:after="283"/>
        <w:ind w:left="0" w:right="0" w:hanging="270"/>
        <w:jc w:val="both"/>
        <w:rPr/>
      </w:pPr>
      <w:r>
        <w:rPr>
          <w:color w:val="000000"/>
        </w:rPr>
        <w:t>•</w:t>
      </w:r>
      <w:r>
        <w:rPr>
          <w:rFonts w:ascii="Times New Roman;serif" w:hAnsi="Times New Roman;serif"/>
          <w:b w:val="false"/>
          <w:color w:val="000000"/>
          <w:sz w:val="20"/>
        </w:rPr>
        <w:t>United States mechanical construction and facilities services;</w:t>
      </w:r>
    </w:p>
    <w:p>
      <w:pPr>
        <w:pStyle w:val="TextBody"/>
        <w:bidi w:val="0"/>
        <w:spacing w:lineRule="auto" w:line="288" w:before="160" w:after="283"/>
        <w:ind w:left="0" w:right="0" w:hanging="270"/>
        <w:jc w:val="both"/>
        <w:rPr/>
      </w:pPr>
      <w:r>
        <w:rPr>
          <w:color w:val="000000"/>
        </w:rPr>
        <w:t>•</w:t>
      </w:r>
      <w:r>
        <w:rPr>
          <w:rFonts w:ascii="Times New Roman;serif" w:hAnsi="Times New Roman;serif"/>
          <w:b w:val="false"/>
          <w:color w:val="000000"/>
          <w:sz w:val="20"/>
        </w:rPr>
        <w:t>United States building services; and</w:t>
      </w:r>
    </w:p>
    <w:p>
      <w:pPr>
        <w:pStyle w:val="TextBody"/>
        <w:bidi w:val="0"/>
        <w:spacing w:lineRule="auto" w:line="288" w:before="160" w:after="283"/>
        <w:ind w:left="0" w:right="0" w:hanging="270"/>
        <w:jc w:val="both"/>
        <w:rPr/>
      </w:pPr>
      <w:r>
        <w:rPr>
          <w:color w:val="000000"/>
        </w:rPr>
        <w:t>•</w:t>
      </w:r>
      <w:r>
        <w:rPr>
          <w:rFonts w:ascii="Times New Roman;serif" w:hAnsi="Times New Roman;serif"/>
          <w:b w:val="false"/>
          <w:color w:val="000000"/>
          <w:sz w:val="20"/>
        </w:rPr>
        <w:t xml:space="preserve">United States industrial services.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 2025, we sold EMCOR UK, the results of which were previously reported within our United Kingdom building services segment.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Chairman, President, and Chief Executive Officer. Our CODM is responsible for assessing the performance of the Company and each of our reportable segments as well as allocating resources, including personnel and capital resources. The measure of segment profit or loss utilized by our CODM is operating income. Our CODM evaluates segment performance by comparing historical, actual, and forecasted operating income on a regular basis. The accounting policies of our reportable segments are the same as those applied at the consolidated financial statement level.</w:t>
      </w:r>
    </w:p>
    <w:p>
      <w:pPr>
        <w:pStyle w:val="TextBody"/>
        <w:bidi w:val="0"/>
        <w:spacing w:lineRule="auto" w:line="288" w:before="180" w:after="20"/>
        <w:ind w:left="0" w:right="0" w:firstLine="450"/>
        <w:jc w:val="both"/>
        <w:rPr/>
      </w:pPr>
      <w:r>
        <w:rPr>
          <w:rFonts w:ascii="Times New Roman;serif" w:hAnsi="Times New Roman;serif"/>
          <w:b w:val="false"/>
          <w:color w:val="000000"/>
          <w:sz w:val="20"/>
        </w:rPr>
        <w:t>The following tables present the revenues and operating income for each of our reportable segments for the three and six months ended June 30, 2026 and 2025 (in thousands):</w:t>
      </w:r>
      <w:r>
        <w:rPr>
          <w:color w:val="000000"/>
        </w:rPr>
        <w:t> </w:t>
      </w:r>
    </w:p>
    <w:tbl>
      <w:tblPr>
        <w:tblW w:w="7988" w:type="dxa"/>
        <w:jc w:val="left"/>
        <w:tblInd w:w="0" w:type="dxa"/>
        <w:tblLayout w:type="fixed"/>
        <w:tblCellMar>
          <w:top w:w="28" w:type="dxa"/>
          <w:left w:w="28" w:type="dxa"/>
          <w:bottom w:w="28" w:type="dxa"/>
          <w:right w:w="28" w:type="dxa"/>
        </w:tblCellMar>
      </w:tblPr>
      <w:tblGrid>
        <w:gridCol w:w="1822"/>
        <w:gridCol w:w="1596"/>
        <w:gridCol w:w="1606"/>
        <w:gridCol w:w="211"/>
        <w:gridCol w:w="976"/>
        <w:gridCol w:w="109"/>
        <w:gridCol w:w="109"/>
        <w:gridCol w:w="109"/>
        <w:gridCol w:w="109"/>
        <w:gridCol w:w="211"/>
        <w:gridCol w:w="976"/>
        <w:gridCol w:w="154"/>
      </w:tblGrid>
      <w:tr>
        <w:trPr/>
        <w:tc>
          <w:tcPr>
            <w:tcW w:w="182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unrelated entities: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4,169,836 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4,304,400 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0"/>
        <w:ind w:left="0" w:right="0" w:firstLine="450"/>
        <w:jc w:val="both"/>
        <w:rPr/>
      </w:pPr>
      <w:r>
        <w:rPr/>
      </w:r>
    </w:p>
    <w:p>
      <w:pPr>
        <w:pStyle w:val="TextBody"/>
        <w:bidi w:val="0"/>
        <w:spacing w:before="180" w:after="2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180" w:after="20"/>
        <w:jc w:val="both"/>
        <w:rPr>
          <w:rFonts w:ascii="Times New Roman;serif" w:hAnsi="Times New Roman;serif"/>
          <w:b/>
          <w:color w:val="000000"/>
          <w:sz w:val="20"/>
        </w:rPr>
      </w:pPr>
      <w:r>
        <w:rPr>
          <w:rFonts w:ascii="Times New Roman;serif" w:hAnsi="Times New Roman;serif"/>
          <w:b/>
          <w:color w:val="000000"/>
          <w:sz w:val="20"/>
        </w:rPr>
        <w:t>NOTE 13 - Segment Information (Continued)</w:t>
      </w:r>
    </w:p>
    <w:p>
      <w:pPr>
        <w:pStyle w:val="TextBody"/>
        <w:bidi w:val="0"/>
        <w:spacing w:before="180" w:after="20"/>
        <w:jc w:val="both"/>
        <w:rPr/>
      </w:pPr>
      <w:r>
        <w:rPr/>
      </w:r>
    </w:p>
    <w:tbl>
      <w:tblPr>
        <w:tblW w:w="7988" w:type="dxa"/>
        <w:jc w:val="center"/>
        <w:tblInd w:w="0" w:type="dxa"/>
        <w:tblLayout w:type="fixed"/>
        <w:tblCellMar>
          <w:top w:w="28" w:type="dxa"/>
          <w:left w:w="28" w:type="dxa"/>
          <w:bottom w:w="28" w:type="dxa"/>
          <w:right w:w="28" w:type="dxa"/>
        </w:tblCellMar>
      </w:tblPr>
      <w:tblGrid>
        <w:gridCol w:w="1817"/>
        <w:gridCol w:w="1602"/>
        <w:gridCol w:w="1605"/>
        <w:gridCol w:w="211"/>
        <w:gridCol w:w="976"/>
        <w:gridCol w:w="109"/>
        <w:gridCol w:w="109"/>
        <w:gridCol w:w="109"/>
        <w:gridCol w:w="109"/>
        <w:gridCol w:w="211"/>
        <w:gridCol w:w="976"/>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intersegment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4,169,836 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4,304,400 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tbl>
      <w:tblPr>
        <w:tblW w:w="7988" w:type="dxa"/>
        <w:jc w:val="center"/>
        <w:tblInd w:w="0" w:type="dxa"/>
        <w:tblLayout w:type="fixed"/>
        <w:tblCellMar>
          <w:top w:w="28" w:type="dxa"/>
          <w:left w:w="28" w:type="dxa"/>
          <w:bottom w:w="28" w:type="dxa"/>
          <w:right w:w="28" w:type="dxa"/>
        </w:tblCellMar>
      </w:tblPr>
      <w:tblGrid>
        <w:gridCol w:w="1822"/>
        <w:gridCol w:w="1596"/>
        <w:gridCol w:w="1606"/>
        <w:gridCol w:w="211"/>
        <w:gridCol w:w="976"/>
        <w:gridCol w:w="109"/>
        <w:gridCol w:w="109"/>
        <w:gridCol w:w="109"/>
        <w:gridCol w:w="109"/>
        <w:gridCol w:w="211"/>
        <w:gridCol w:w="976"/>
        <w:gridCol w:w="154"/>
      </w:tblGrid>
      <w:tr>
        <w:trPr/>
        <w:tc>
          <w:tcPr>
            <w:tcW w:w="182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unrelated entities: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7,931,907 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9,783,125 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8,171,772 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tbl>
      <w:tblPr>
        <w:tblW w:w="7988" w:type="dxa"/>
        <w:jc w:val="center"/>
        <w:tblInd w:w="0" w:type="dxa"/>
        <w:tblLayout w:type="fixed"/>
        <w:tblCellMar>
          <w:top w:w="28" w:type="dxa"/>
          <w:left w:w="28" w:type="dxa"/>
          <w:bottom w:w="28" w:type="dxa"/>
          <w:right w:w="28" w:type="dxa"/>
        </w:tblCellMar>
      </w:tblPr>
      <w:tblGrid>
        <w:gridCol w:w="1817"/>
        <w:gridCol w:w="1602"/>
        <w:gridCol w:w="1605"/>
        <w:gridCol w:w="211"/>
        <w:gridCol w:w="976"/>
        <w:gridCol w:w="109"/>
        <w:gridCol w:w="109"/>
        <w:gridCol w:w="109"/>
        <w:gridCol w:w="109"/>
        <w:gridCol w:w="211"/>
        <w:gridCol w:w="976"/>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intersegment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9,783,125 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7,931,907 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9,783,125 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8,171,772 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60" w:after="20"/>
        <w:jc w:val="both"/>
        <w:rPr>
          <w:rFonts w:ascii="Times New Roman;serif" w:hAnsi="Times New Roman;serif"/>
          <w:b/>
          <w:color w:val="000000"/>
          <w:sz w:val="20"/>
        </w:rPr>
      </w:pPr>
      <w:r>
        <w:rPr>
          <w:rFonts w:ascii="Times New Roman;serif" w:hAnsi="Times New Roman;serif"/>
          <w:b/>
          <w:color w:val="000000"/>
          <w:sz w:val="20"/>
        </w:rPr>
        <w:t>NOTE 13 - Segment Information (Continued)</w:t>
      </w:r>
    </w:p>
    <w:p>
      <w:pPr>
        <w:pStyle w:val="TextBody"/>
        <w:bidi w:val="0"/>
        <w:spacing w:before="60" w:after="20"/>
        <w:jc w:val="both"/>
        <w:rPr/>
      </w:pPr>
      <w:r>
        <w:rPr/>
      </w:r>
    </w:p>
    <w:tbl>
      <w:tblPr>
        <w:tblW w:w="7688" w:type="dxa"/>
        <w:jc w:val="center"/>
        <w:tblInd w:w="0" w:type="dxa"/>
        <w:tblLayout w:type="fixed"/>
        <w:tblCellMar>
          <w:top w:w="28" w:type="dxa"/>
          <w:left w:w="28" w:type="dxa"/>
          <w:bottom w:w="28" w:type="dxa"/>
          <w:right w:w="28" w:type="dxa"/>
        </w:tblCellMar>
      </w:tblPr>
      <w:tblGrid>
        <w:gridCol w:w="1818"/>
        <w:gridCol w:w="1597"/>
        <w:gridCol w:w="1609"/>
        <w:gridCol w:w="211"/>
        <w:gridCol w:w="826"/>
        <w:gridCol w:w="109"/>
        <w:gridCol w:w="109"/>
        <w:gridCol w:w="109"/>
        <w:gridCol w:w="109"/>
        <w:gridCol w:w="211"/>
        <w:gridCol w:w="826"/>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tbl>
      <w:tblPr>
        <w:tblW w:w="7688" w:type="dxa"/>
        <w:jc w:val="left"/>
        <w:tblInd w:w="0" w:type="dxa"/>
        <w:tblLayout w:type="fixed"/>
        <w:tblCellMar>
          <w:top w:w="28" w:type="dxa"/>
          <w:left w:w="28" w:type="dxa"/>
          <w:bottom w:w="28" w:type="dxa"/>
          <w:right w:w="28" w:type="dxa"/>
        </w:tblCellMar>
      </w:tblPr>
      <w:tblGrid>
        <w:gridCol w:w="1818"/>
        <w:gridCol w:w="1597"/>
        <w:gridCol w:w="1609"/>
        <w:gridCol w:w="211"/>
        <w:gridCol w:w="826"/>
        <w:gridCol w:w="109"/>
        <w:gridCol w:w="109"/>
        <w:gridCol w:w="109"/>
        <w:gridCol w:w="109"/>
        <w:gridCol w:w="211"/>
        <w:gridCol w:w="826"/>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
        <w:ind w:left="0" w:right="0" w:firstLine="450"/>
        <w:jc w:val="both"/>
        <w:rPr/>
      </w:pPr>
      <w:r>
        <w:rPr/>
      </w:r>
    </w:p>
    <w:p>
      <w:pPr>
        <w:pStyle w:val="TextBody"/>
        <w:bidi w:val="0"/>
        <w:spacing w:before="60" w:after="100"/>
        <w:ind w:left="0" w:right="0" w:firstLine="450"/>
        <w:jc w:val="both"/>
        <w:rPr/>
      </w:pPr>
      <w:r>
        <w:rPr/>
      </w:r>
    </w:p>
    <w:p>
      <w:pPr>
        <w:pStyle w:val="TextBody"/>
        <w:bidi w:val="0"/>
        <w:spacing w:before="60" w:after="100"/>
        <w:ind w:left="0" w:right="0" w:firstLine="450"/>
        <w:jc w:val="both"/>
        <w:rPr/>
      </w:pPr>
      <w:r>
        <w:rPr/>
      </w:r>
    </w:p>
    <w:p>
      <w:pPr>
        <w:pStyle w:val="TextBody"/>
        <w:bidi w:val="0"/>
        <w:spacing w:before="60" w:after="100"/>
        <w:ind w:left="0" w:right="0" w:firstLine="450"/>
        <w:jc w:val="both"/>
        <w:rPr/>
      </w:pPr>
      <w:r>
        <w:rPr/>
      </w:r>
    </w:p>
    <w:p>
      <w:pPr>
        <w:pStyle w:val="TextBody"/>
        <w:bidi w:val="0"/>
        <w:spacing w:before="60" w:after="100"/>
        <w:ind w:left="0" w:right="0" w:firstLine="450"/>
        <w:jc w:val="both"/>
        <w:rPr/>
      </w:pPr>
      <w:r>
        <w:rPr/>
      </w:r>
    </w:p>
    <w:p>
      <w:pPr>
        <w:pStyle w:val="TextBody"/>
        <w:bidi w:val="0"/>
        <w:spacing w:before="60" w:after="100"/>
        <w:ind w:left="0" w:right="0" w:firstLine="450"/>
        <w:jc w:val="both"/>
        <w:rPr/>
      </w:pPr>
      <w:r>
        <w:rPr/>
      </w:r>
    </w:p>
    <w:p>
      <w:pPr>
        <w:pStyle w:val="TextBody"/>
        <w:bidi w:val="0"/>
        <w:spacing w:before="60" w:after="100"/>
        <w:ind w:left="0" w:right="0" w:firstLine="450"/>
        <w:jc w:val="both"/>
        <w:rPr/>
      </w:pPr>
      <w:r>
        <w:rPr/>
      </w:r>
    </w:p>
    <w:p>
      <w:pPr>
        <w:pStyle w:val="TextBody"/>
        <w:bidi w:val="0"/>
        <w:spacing w:before="60" w:after="100"/>
        <w:ind w:left="0" w:right="0" w:firstLine="450"/>
        <w:jc w:val="both"/>
        <w:rPr/>
      </w:pPr>
      <w:r>
        <w:rPr/>
      </w:r>
    </w:p>
    <w:p>
      <w:pPr>
        <w:pStyle w:val="TextBody"/>
        <w:bidi w:val="0"/>
        <w:spacing w:before="60" w:after="10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0"/>
        <w:jc w:val="both"/>
        <w:rPr>
          <w:rFonts w:ascii="Times New Roman;serif" w:hAnsi="Times New Roman;serif"/>
          <w:b/>
          <w:color w:val="000000"/>
          <w:sz w:val="20"/>
        </w:rPr>
      </w:pPr>
      <w:r>
        <w:rPr>
          <w:rFonts w:ascii="Times New Roman;serif" w:hAnsi="Times New Roman;serif"/>
          <w:b/>
          <w:color w:val="000000"/>
          <w:sz w:val="20"/>
        </w:rPr>
        <w:t>NOTE 13 - Segment Information (Continued)</w:t>
      </w:r>
    </w:p>
    <w:p>
      <w:pPr>
        <w:pStyle w:val="TextBody"/>
        <w:bidi w:val="0"/>
        <w:spacing w:lineRule="auto" w:line="288" w:before="200" w:after="100"/>
        <w:ind w:left="0" w:right="0" w:firstLine="450"/>
        <w:jc w:val="both"/>
        <w:rPr/>
      </w:pPr>
      <w:r>
        <w:rPr>
          <w:rFonts w:ascii="Times New Roman;serif" w:hAnsi="Times New Roman;serif"/>
          <w:b w:val="false"/>
          <w:color w:val="000000"/>
          <w:sz w:val="20"/>
        </w:rPr>
        <w:t>The following tables provide the significant expenses that are regularly provided to and reviewed by our CODM for each of our reportable segments for the three and six months ended June 30, 2026 and 2025 (in thousands):</w:t>
      </w:r>
      <w:r>
        <w:rPr>
          <w:color w:val="000000"/>
        </w:rPr>
        <w:t> </w:t>
      </w:r>
    </w:p>
    <w:tbl>
      <w:tblPr>
        <w:tblW w:w="7989" w:type="dxa"/>
        <w:jc w:val="left"/>
        <w:tblInd w:w="0" w:type="dxa"/>
        <w:tblLayout w:type="fixed"/>
        <w:tblCellMar>
          <w:top w:w="28" w:type="dxa"/>
          <w:left w:w="28" w:type="dxa"/>
          <w:bottom w:w="28" w:type="dxa"/>
          <w:right w:w="28" w:type="dxa"/>
        </w:tblCellMar>
      </w:tblPr>
      <w:tblGrid>
        <w:gridCol w:w="1819"/>
        <w:gridCol w:w="1592"/>
        <w:gridCol w:w="1614"/>
        <w:gridCol w:w="211"/>
        <w:gridCol w:w="976"/>
        <w:gridCol w:w="109"/>
        <w:gridCol w:w="109"/>
        <w:gridCol w:w="109"/>
        <w:gridCol w:w="109"/>
        <w:gridCol w:w="211"/>
        <w:gridCol w:w="97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4,132,513 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3,352,640 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cost of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4,132,513 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3,470,629 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40"/>
        <w:jc w:val="both"/>
        <w:rPr/>
      </w:pPr>
      <w:r>
        <w:rPr/>
      </w:r>
    </w:p>
    <w:tbl>
      <w:tblPr>
        <w:tblW w:w="7989" w:type="dxa"/>
        <w:jc w:val="left"/>
        <w:tblInd w:w="0" w:type="dxa"/>
        <w:tblLayout w:type="fixed"/>
        <w:tblCellMar>
          <w:top w:w="28" w:type="dxa"/>
          <w:left w:w="28" w:type="dxa"/>
          <w:bottom w:w="28" w:type="dxa"/>
          <w:right w:w="28" w:type="dxa"/>
        </w:tblCellMar>
      </w:tblPr>
      <w:tblGrid>
        <w:gridCol w:w="1819"/>
        <w:gridCol w:w="1592"/>
        <w:gridCol w:w="1614"/>
        <w:gridCol w:w="211"/>
        <w:gridCol w:w="976"/>
        <w:gridCol w:w="109"/>
        <w:gridCol w:w="109"/>
        <w:gridCol w:w="109"/>
        <w:gridCol w:w="109"/>
        <w:gridCol w:w="211"/>
        <w:gridCol w:w="97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6,404,197 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cost of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7,896,796 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6,615,283 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
        <w:jc w:val="both"/>
        <w:rPr/>
      </w:pPr>
      <w:r>
        <w:rPr/>
      </w:r>
    </w:p>
    <w:tbl>
      <w:tblPr>
        <w:tblW w:w="7688" w:type="dxa"/>
        <w:jc w:val="left"/>
        <w:tblInd w:w="0" w:type="dxa"/>
        <w:tblLayout w:type="fixed"/>
        <w:tblCellMar>
          <w:top w:w="28" w:type="dxa"/>
          <w:left w:w="28" w:type="dxa"/>
          <w:bottom w:w="28" w:type="dxa"/>
          <w:right w:w="28" w:type="dxa"/>
        </w:tblCellMar>
      </w:tblPr>
      <w:tblGrid>
        <w:gridCol w:w="1822"/>
        <w:gridCol w:w="1599"/>
        <w:gridCol w:w="1603"/>
        <w:gridCol w:w="211"/>
        <w:gridCol w:w="826"/>
        <w:gridCol w:w="109"/>
        <w:gridCol w:w="109"/>
        <w:gridCol w:w="109"/>
        <w:gridCol w:w="109"/>
        <w:gridCol w:w="211"/>
        <w:gridCol w:w="826"/>
        <w:gridCol w:w="154"/>
      </w:tblGrid>
      <w:tr>
        <w:trPr/>
        <w:tc>
          <w:tcPr>
            <w:tcW w:w="182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selling, general and administrative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418,559 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
        <w:jc w:val="both"/>
        <w:rPr/>
      </w:pPr>
      <w:r>
        <w:rPr/>
      </w:r>
    </w:p>
    <w:p>
      <w:pPr>
        <w:pStyle w:val="TextBody"/>
        <w:bidi w:val="0"/>
        <w:spacing w:before="60" w:after="20"/>
        <w:jc w:val="both"/>
        <w:rPr/>
      </w:pPr>
      <w:r>
        <w:rPr/>
      </w:r>
    </w:p>
    <w:p>
      <w:pPr>
        <w:pStyle w:val="TextBody"/>
        <w:bidi w:val="0"/>
        <w:spacing w:before="60" w:after="20"/>
        <w:jc w:val="both"/>
        <w:rPr/>
      </w:pPr>
      <w:r>
        <w:rPr/>
      </w:r>
    </w:p>
    <w:p>
      <w:pPr>
        <w:pStyle w:val="TextBody"/>
        <w:bidi w:val="0"/>
        <w:spacing w:before="60" w:after="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60" w:after="20"/>
        <w:jc w:val="both"/>
        <w:rPr>
          <w:rFonts w:ascii="Times New Roman;serif" w:hAnsi="Times New Roman;serif"/>
          <w:b/>
          <w:color w:val="000000"/>
          <w:sz w:val="20"/>
        </w:rPr>
      </w:pPr>
      <w:r>
        <w:rPr>
          <w:rFonts w:ascii="Times New Roman;serif" w:hAnsi="Times New Roman;serif"/>
          <w:b/>
          <w:color w:val="000000"/>
          <w:sz w:val="20"/>
        </w:rPr>
        <w:t>NOTE 13 - Segment Information (Continued)</w:t>
      </w:r>
    </w:p>
    <w:tbl>
      <w:tblPr>
        <w:tblW w:w="7688" w:type="dxa"/>
        <w:jc w:val="left"/>
        <w:tblInd w:w="0" w:type="dxa"/>
        <w:tblLayout w:type="fixed"/>
        <w:tblCellMar>
          <w:top w:w="28" w:type="dxa"/>
          <w:left w:w="28" w:type="dxa"/>
          <w:bottom w:w="28" w:type="dxa"/>
          <w:right w:w="28" w:type="dxa"/>
        </w:tblCellMar>
      </w:tblPr>
      <w:tblGrid>
        <w:gridCol w:w="1822"/>
        <w:gridCol w:w="1599"/>
        <w:gridCol w:w="1603"/>
        <w:gridCol w:w="211"/>
        <w:gridCol w:w="826"/>
        <w:gridCol w:w="109"/>
        <w:gridCol w:w="109"/>
        <w:gridCol w:w="109"/>
        <w:gridCol w:w="109"/>
        <w:gridCol w:w="211"/>
        <w:gridCol w:w="826"/>
        <w:gridCol w:w="154"/>
      </w:tblGrid>
      <w:tr>
        <w:trPr/>
        <w:tc>
          <w:tcPr>
            <w:tcW w:w="182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selling, general and administrative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822,521 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lineRule="auto" w:line="288" w:before="60" w:after="20"/>
        <w:ind w:left="0" w:right="0" w:firstLine="450"/>
        <w:jc w:val="both"/>
        <w:rPr/>
      </w:pPr>
      <w:r>
        <w:rPr>
          <w:rFonts w:ascii="Times New Roman;serif" w:hAnsi="Times New Roman;serif"/>
          <w:b w:val="false"/>
          <w:color w:val="000000"/>
          <w:sz w:val="20"/>
        </w:rPr>
        <w:t>The following tables present other financial information for each of our reportable segments for the three and six months ended June 30, 2026 and 2025 (in thousands):</w:t>
      </w:r>
      <w:r>
        <w:rPr>
          <w:color w:val="000000"/>
        </w:rPr>
        <w:t> </w:t>
      </w:r>
    </w:p>
    <w:tbl>
      <w:tblPr>
        <w:tblW w:w="8258" w:type="dxa"/>
        <w:jc w:val="left"/>
        <w:tblInd w:w="0" w:type="dxa"/>
        <w:tblLayout w:type="fixed"/>
        <w:tblCellMar>
          <w:top w:w="28" w:type="dxa"/>
          <w:left w:w="28" w:type="dxa"/>
          <w:bottom w:w="28" w:type="dxa"/>
          <w:right w:w="28" w:type="dxa"/>
        </w:tblCellMar>
      </w:tblPr>
      <w:tblGrid>
        <w:gridCol w:w="2102"/>
        <w:gridCol w:w="1849"/>
        <w:gridCol w:w="1853"/>
        <w:gridCol w:w="211"/>
        <w:gridCol w:w="721"/>
        <w:gridCol w:w="109"/>
        <w:gridCol w:w="109"/>
        <w:gridCol w:w="109"/>
        <w:gridCol w:w="109"/>
        <w:gridCol w:w="211"/>
        <w:gridCol w:w="721"/>
        <w:gridCol w:w="154"/>
      </w:tblGrid>
      <w:tr>
        <w:trPr/>
        <w:tc>
          <w:tcPr>
            <w:tcW w:w="2102"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plant, and equipment: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of property, plant, and equipment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
        <w:jc w:val="both"/>
        <w:rPr/>
      </w:pPr>
      <w:r>
        <w:rPr/>
      </w:r>
    </w:p>
    <w:tbl>
      <w:tblPr>
        <w:tblW w:w="8258" w:type="dxa"/>
        <w:jc w:val="left"/>
        <w:tblInd w:w="0" w:type="dxa"/>
        <w:tblLayout w:type="fixed"/>
        <w:tblCellMar>
          <w:top w:w="28" w:type="dxa"/>
          <w:left w:w="28" w:type="dxa"/>
          <w:bottom w:w="28" w:type="dxa"/>
          <w:right w:w="28" w:type="dxa"/>
        </w:tblCellMar>
      </w:tblPr>
      <w:tblGrid>
        <w:gridCol w:w="2102"/>
        <w:gridCol w:w="1849"/>
        <w:gridCol w:w="1853"/>
        <w:gridCol w:w="211"/>
        <w:gridCol w:w="721"/>
        <w:gridCol w:w="109"/>
        <w:gridCol w:w="109"/>
        <w:gridCol w:w="109"/>
        <w:gridCol w:w="109"/>
        <w:gridCol w:w="211"/>
        <w:gridCol w:w="721"/>
        <w:gridCol w:w="154"/>
      </w:tblGrid>
      <w:tr>
        <w:trPr/>
        <w:tc>
          <w:tcPr>
            <w:tcW w:w="2102"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plant, and equipment: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of property, plant, and equipment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
        <w:jc w:val="both"/>
        <w:rPr/>
      </w:pPr>
      <w:r>
        <w:rPr/>
      </w:r>
    </w:p>
    <w:p>
      <w:pPr>
        <w:pStyle w:val="TextBody"/>
        <w:bidi w:val="0"/>
        <w:spacing w:before="60" w:after="20"/>
        <w:jc w:val="both"/>
        <w:rPr/>
      </w:pPr>
      <w:r>
        <w:rPr/>
      </w:r>
    </w:p>
    <w:p>
      <w:pPr>
        <w:pStyle w:val="TextBody"/>
        <w:bidi w:val="0"/>
        <w:spacing w:before="60" w:after="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605" cy="14605"/>
                <wp:effectExtent l="0" t="0" r="0" b="0"/>
                <wp:wrapNone/>
                <wp:docPr id="32" name="Frame3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NOTE 13 - Segment Information (Continued)</w:t>
      </w:r>
    </w:p>
    <w:tbl>
      <w:tblPr>
        <w:tblW w:w="7478" w:type="dxa"/>
        <w:jc w:val="left"/>
        <w:tblInd w:w="0" w:type="dxa"/>
        <w:tblLayout w:type="fixed"/>
        <w:tblCellMar>
          <w:top w:w="28" w:type="dxa"/>
          <w:left w:w="28" w:type="dxa"/>
          <w:bottom w:w="28" w:type="dxa"/>
          <w:right w:w="28" w:type="dxa"/>
        </w:tblCellMar>
      </w:tblPr>
      <w:tblGrid>
        <w:gridCol w:w="1820"/>
        <w:gridCol w:w="1598"/>
        <w:gridCol w:w="1606"/>
        <w:gridCol w:w="211"/>
        <w:gridCol w:w="721"/>
        <w:gridCol w:w="109"/>
        <w:gridCol w:w="109"/>
        <w:gridCol w:w="109"/>
        <w:gridCol w:w="109"/>
        <w:gridCol w:w="211"/>
        <w:gridCol w:w="721"/>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identifiable intangible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identifiable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78" w:type="dxa"/>
        <w:jc w:val="left"/>
        <w:tblInd w:w="0" w:type="dxa"/>
        <w:tblLayout w:type="fixed"/>
        <w:tblCellMar>
          <w:top w:w="28" w:type="dxa"/>
          <w:left w:w="28" w:type="dxa"/>
          <w:bottom w:w="28" w:type="dxa"/>
          <w:right w:w="28" w:type="dxa"/>
        </w:tblCellMar>
      </w:tblPr>
      <w:tblGrid>
        <w:gridCol w:w="1820"/>
        <w:gridCol w:w="1598"/>
        <w:gridCol w:w="1606"/>
        <w:gridCol w:w="211"/>
        <w:gridCol w:w="721"/>
        <w:gridCol w:w="109"/>
        <w:gridCol w:w="109"/>
        <w:gridCol w:w="109"/>
        <w:gridCol w:w="109"/>
        <w:gridCol w:w="211"/>
        <w:gridCol w:w="721"/>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identifiable intangible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identifiable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78" w:type="dxa"/>
        <w:jc w:val="left"/>
        <w:tblInd w:w="0" w:type="dxa"/>
        <w:tblLayout w:type="fixed"/>
        <w:tblCellMar>
          <w:top w:w="28" w:type="dxa"/>
          <w:left w:w="28" w:type="dxa"/>
          <w:bottom w:w="28" w:type="dxa"/>
          <w:right w:w="28" w:type="dxa"/>
        </w:tblCellMar>
      </w:tblPr>
      <w:tblGrid>
        <w:gridCol w:w="1819"/>
        <w:gridCol w:w="1599"/>
        <w:gridCol w:w="1606"/>
        <w:gridCol w:w="211"/>
        <w:gridCol w:w="721"/>
        <w:gridCol w:w="109"/>
        <w:gridCol w:w="109"/>
        <w:gridCol w:w="109"/>
        <w:gridCol w:w="109"/>
        <w:gridCol w:w="211"/>
        <w:gridCol w:w="721"/>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78" w:type="dxa"/>
        <w:jc w:val="left"/>
        <w:tblInd w:w="0" w:type="dxa"/>
        <w:tblLayout w:type="fixed"/>
        <w:tblCellMar>
          <w:top w:w="28" w:type="dxa"/>
          <w:left w:w="28" w:type="dxa"/>
          <w:bottom w:w="28" w:type="dxa"/>
          <w:right w:w="28" w:type="dxa"/>
        </w:tblCellMar>
      </w:tblPr>
      <w:tblGrid>
        <w:gridCol w:w="1819"/>
        <w:gridCol w:w="1599"/>
        <w:gridCol w:w="1606"/>
        <w:gridCol w:w="211"/>
        <w:gridCol w:w="721"/>
        <w:gridCol w:w="109"/>
        <w:gridCol w:w="109"/>
        <w:gridCol w:w="109"/>
        <w:gridCol w:w="109"/>
        <w:gridCol w:w="211"/>
        <w:gridCol w:w="721"/>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EMCOR Group, Inc. and Subsidiaries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lineRule="auto" w:line="288" w:before="200" w:after="20"/>
        <w:jc w:val="both"/>
        <w:rPr/>
      </w:pPr>
      <w:r>
        <w:rPr>
          <w:rFonts w:ascii="Times New Roman;serif" w:hAnsi="Times New Roman;serif"/>
          <w:b/>
          <w:color w:val="000000"/>
          <w:sz w:val="20"/>
        </w:rPr>
        <w:t>NOTE 13 - Segment Information (Continued)</w:t>
      </w:r>
      <w:r>
        <w:rPr>
          <w:color w:val="000000"/>
        </w:rPr>
        <w:t> </w:t>
      </w:r>
    </w:p>
    <w:p>
      <w:pPr>
        <w:pStyle w:val="TextBody"/>
        <w:bidi w:val="0"/>
        <w:spacing w:lineRule="auto" w:line="288" w:before="200" w:after="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assets for each of our reportable segments as of June 30, 2026 and December 31, 2025 (in thousands):</w:t>
      </w:r>
    </w:p>
    <w:tbl>
      <w:tblPr>
        <w:tblW w:w="8093" w:type="dxa"/>
        <w:jc w:val="left"/>
        <w:tblInd w:w="0" w:type="dxa"/>
        <w:tblLayout w:type="fixed"/>
        <w:tblCellMar>
          <w:top w:w="28" w:type="dxa"/>
          <w:left w:w="28" w:type="dxa"/>
          <w:bottom w:w="28" w:type="dxa"/>
          <w:right w:w="28" w:type="dxa"/>
        </w:tblCellMar>
      </w:tblPr>
      <w:tblGrid>
        <w:gridCol w:w="1814"/>
        <w:gridCol w:w="1594"/>
        <w:gridCol w:w="1616"/>
        <w:gridCol w:w="211"/>
        <w:gridCol w:w="1081"/>
        <w:gridCol w:w="109"/>
        <w:gridCol w:w="109"/>
        <w:gridCol w:w="109"/>
        <w:gridCol w:w="109"/>
        <w:gridCol w:w="211"/>
        <w:gridCol w:w="976"/>
        <w:gridCol w:w="154"/>
      </w:tblGrid>
      <w:tr>
        <w:trPr/>
        <w:tc>
          <w:tcPr>
            <w:tcW w:w="181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operations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7,855,266 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9,291,399 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0"/>
        <w:jc w:val="both"/>
        <w:rPr>
          <w:rFonts w:ascii="Times New Roman;serif" w:hAnsi="Times New Roman;serif"/>
          <w:b/>
          <w:color w:val="000000"/>
          <w:sz w:val="20"/>
        </w:rPr>
      </w:pPr>
      <w:r>
        <w:rPr>
          <w:rFonts w:ascii="Times New Roman;serif" w:hAnsi="Times New Roman;serif"/>
          <w:b/>
          <w:color w:val="000000"/>
          <w:sz w:val="20"/>
        </w:rPr>
        <w:t>NOTE 14 - Subsequent Events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2026, we acquired two electrical contractors that expand our service offerings in the Midwestern and Southeastern regions of the United States. In June and July 2026, we also entered into definitive agreements to acquire two additional electrical contractors, one in Texas and one in the Midwestern region of the United States. Such pending transactions are expected to close in the third quarter of 2026, subject to customary closing conditions. Together, these four acquisitions, which have an aggregate upfront purchase price of approximately $700 million, will be included within our United States electrical construction and facilities services segment. We intend to finance these acquisitions through a combination of cash on hand and, to the extent necessary, borrowings under our revolving credit facility.</w:t>
      </w:r>
    </w:p>
    <w:p>
      <w:pPr>
        <w:pStyle w:val="TextBody"/>
        <w:bidi w:val="0"/>
        <w:spacing w:before="200" w:after="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2"/>
        <w:gridCol w:w="265"/>
        <w:gridCol w:w="267"/>
        <w:gridCol w:w="2739"/>
        <w:gridCol w:w="2739"/>
        <w:gridCol w:w="3893"/>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893"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Business Description</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Such operating subsidiaries are organized into the following reportable segments: </w:t>
      </w:r>
    </w:p>
    <w:p>
      <w:pPr>
        <w:pStyle w:val="TextBody"/>
        <w:bidi w:val="0"/>
        <w:spacing w:lineRule="auto" w:line="288" w:before="80" w:after="283"/>
        <w:ind w:left="0" w:right="0" w:hanging="270"/>
        <w:jc w:val="both"/>
        <w:rPr/>
      </w:pPr>
      <w:r>
        <w:rPr>
          <w:color w:val="000000"/>
        </w:rPr>
        <w:t>•</w:t>
      </w:r>
      <w:r>
        <w:rPr>
          <w:rFonts w:ascii="Times New Roman;serif" w:hAnsi="Times New Roman;serif"/>
          <w:b w:val="false"/>
          <w:color w:val="000000"/>
          <w:sz w:val="20"/>
        </w:rPr>
        <w:t>United States electrical construction and facilities services;</w:t>
      </w:r>
    </w:p>
    <w:p>
      <w:pPr>
        <w:pStyle w:val="TextBody"/>
        <w:bidi w:val="0"/>
        <w:spacing w:lineRule="auto" w:line="288" w:before="80" w:after="283"/>
        <w:ind w:left="0" w:right="0" w:hanging="270"/>
        <w:jc w:val="both"/>
        <w:rPr/>
      </w:pPr>
      <w:r>
        <w:rPr>
          <w:color w:val="000000"/>
        </w:rPr>
        <w:t>•</w:t>
      </w:r>
      <w:r>
        <w:rPr>
          <w:rFonts w:ascii="Times New Roman;serif" w:hAnsi="Times New Roman;serif"/>
          <w:b w:val="false"/>
          <w:color w:val="000000"/>
          <w:sz w:val="20"/>
        </w:rPr>
        <w:t>United States mechanical construction and facilities services;</w:t>
      </w:r>
    </w:p>
    <w:p>
      <w:pPr>
        <w:pStyle w:val="TextBody"/>
        <w:bidi w:val="0"/>
        <w:spacing w:lineRule="auto" w:line="288" w:before="80" w:after="283"/>
        <w:ind w:left="0" w:right="0" w:hanging="270"/>
        <w:jc w:val="both"/>
        <w:rPr/>
      </w:pPr>
      <w:r>
        <w:rPr>
          <w:color w:val="000000"/>
        </w:rPr>
        <w:t>•</w:t>
      </w:r>
      <w:r>
        <w:rPr>
          <w:rFonts w:ascii="Times New Roman;serif" w:hAnsi="Times New Roman;serif"/>
          <w:b w:val="false"/>
          <w:color w:val="000000"/>
          <w:sz w:val="20"/>
        </w:rPr>
        <w:t>United States building services; and</w:t>
      </w:r>
    </w:p>
    <w:p>
      <w:pPr>
        <w:pStyle w:val="TextBody"/>
        <w:bidi w:val="0"/>
        <w:spacing w:lineRule="auto" w:line="288" w:before="80" w:after="283"/>
        <w:ind w:left="0" w:right="0" w:hanging="270"/>
        <w:jc w:val="both"/>
        <w:rPr/>
      </w:pPr>
      <w:r>
        <w:rPr>
          <w:color w:val="000000"/>
        </w:rPr>
        <w:t>•</w:t>
      </w:r>
      <w:r>
        <w:rPr>
          <w:rFonts w:ascii="Times New Roman;serif" w:hAnsi="Times New Roman;serif"/>
          <w:b w:val="false"/>
          <w:color w:val="000000"/>
          <w:sz w:val="20"/>
        </w:rPr>
        <w:t xml:space="preserve">United States industrial services.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refer to our United States electrical construction and facilities services segment and our United States mechanical construction and facilities services segment together as our United States construction segments.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December 1, 2025, we sold EMCOR (UK) Limited and EMCOR Group (UK) plc, which collectively represented our United Kingdom building services segment (collectively, “EMCOR UK”).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more complete description of our operations, refer to Item 1. Business of our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ind w:left="0" w:right="0" w:firstLine="450"/>
        <w:jc w:val="both"/>
        <w:rPr/>
      </w:pPr>
      <w:r>
        <w:rPr>
          <w:rFonts w:ascii="Times New Roman;serif" w:hAnsi="Times New Roman;serif"/>
          <w:b w:val="false"/>
          <w:color w:val="000000"/>
          <w:sz w:val="20"/>
        </w:rPr>
        <w:t>The following table presents selected financial data for the quarters ended June 30, 2026 and 2025 (in thousands, except for percentages and per share data):</w:t>
      </w:r>
      <w:r>
        <w:rPr>
          <w:color w:val="000000"/>
        </w:rPr>
        <w:t> </w:t>
      </w:r>
    </w:p>
    <w:tbl>
      <w:tblPr>
        <w:tblW w:w="7112" w:type="dxa"/>
        <w:jc w:val="center"/>
        <w:tblInd w:w="0" w:type="dxa"/>
        <w:tblLayout w:type="fixed"/>
        <w:tblCellMar>
          <w:top w:w="28" w:type="dxa"/>
          <w:left w:w="28" w:type="dxa"/>
          <w:bottom w:w="28" w:type="dxa"/>
          <w:right w:w="28" w:type="dxa"/>
        </w:tblCellMar>
      </w:tblPr>
      <w:tblGrid>
        <w:gridCol w:w="1386"/>
        <w:gridCol w:w="1215"/>
        <w:gridCol w:w="1223"/>
        <w:gridCol w:w="211"/>
        <w:gridCol w:w="976"/>
        <w:gridCol w:w="271"/>
        <w:gridCol w:w="109"/>
        <w:gridCol w:w="109"/>
        <w:gridCol w:w="109"/>
        <w:gridCol w:w="211"/>
        <w:gridCol w:w="976"/>
        <w:gridCol w:w="316"/>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4,304,400 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increase from prior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as a percentage of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as a percentage of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of $5.15 billion for the quarter ended June 30, 2026 set a quarterly record for the Company and represent an increase of 19.8% from revenues of $4.30 billion for the quarter ended June 30, 2025. Demand for our services continues to be broad-based with strength across most of the market sectors we serve. As described in further detail below, we experienced revenue growth within all of our reportable segments. Revenues for the second quarter of 2026 included incremental acquisition contribution of $169.2 million.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quarter ended June 30, 2026, operating income was $547.3 million, or 10.6% of revenues, establishing new records for the Company with respect to a second quarter. This compares to operating income of $415.2 million, or 9.6% of revenues, for the quarter ended June 30, 2025. As described in further detail below, in addition to the impact of the revenue growth we experienced in the quarter, our operating performance benefited from an increase in consolidated gross profit margin as well as a reduction in the ratio of selling, general and administrative expenses to revenues. Operating income for the quarter ended June 30, 2026 included incremental acquisition contribution of $13.9 million, net of amortization expense attributable to identifiable intangible assets of $5.6 million.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of $403.7 million, or $9.06 per diluted share, for the quarter ended June 30, 2026 compares favorably to net income of $302.2 million, or $6.72 per diluted share, for the quarter ended June 30, 2025. While the majority of the increase in our net income and diluted earnings per share was a result of the increased operating income referenced above, diluted earnings per share for the quarter ended June 30, 2026 additionally benefited from a reduced weighted average share count given the impact of common stock repurchases made by us throughout 2025 and the first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Impact of Acquisitions</w:t>
      </w:r>
    </w:p>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provide a more meaningful period-over-period discussion of our operating results, we may discuss amounts generated or incurred (revenues, gross profit, selling, general and administrative expenses, and operating income) from companies acquired. These amounts reflect the acquired companies’ operating results in the current reported period only for the time period these entities were not owned by EMCOR in the comparable prior reported period. </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half of 2026, we acquired four companies for upfront consideration of $99.8 million.</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3, 2025, we completed the acquisition of Miller Electric Company (“Miller Electric”), a leading electrical contractor, for total cash consideration of $876.8 million. In addition to Miller Electric, during calendar year 2025, we acquired nine companies for upfront consideration of $182.3 million.</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further discussion regarding our acquisitions, refer to Note 4 - Acquisitions and Dispositions of Businesses of the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40" w:after="283"/>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80" w:after="283"/>
        <w:ind w:left="0" w:right="0" w:firstLine="450"/>
        <w:jc w:val="both"/>
        <w:rPr/>
      </w:pPr>
      <w:r>
        <w:rPr>
          <w:rFonts w:ascii="Times New Roman;serif" w:hAnsi="Times New Roman;serif"/>
          <w:b w:val="false"/>
          <w:color w:val="000000"/>
          <w:sz w:val="20"/>
        </w:rPr>
        <w:t>The following tables present our operating segment revenues from unrelated entities and their respective percentages of total revenues (in thousands, except for percentages):</w:t>
      </w:r>
      <w:r>
        <w:rPr>
          <w:color w:val="000000"/>
        </w:rPr>
        <w:t> </w:t>
      </w:r>
    </w:p>
    <w:tbl>
      <w:tblPr>
        <w:tblW w:w="10127" w:type="dxa"/>
        <w:jc w:val="center"/>
        <w:tblInd w:w="0" w:type="dxa"/>
        <w:tblLayout w:type="fixed"/>
        <w:tblCellMar>
          <w:top w:w="28" w:type="dxa"/>
          <w:left w:w="28" w:type="dxa"/>
          <w:bottom w:w="28" w:type="dxa"/>
          <w:right w:w="28" w:type="dxa"/>
        </w:tblCellMar>
      </w:tblPr>
      <w:tblGrid>
        <w:gridCol w:w="1819"/>
        <w:gridCol w:w="1594"/>
        <w:gridCol w:w="1612"/>
        <w:gridCol w:w="211"/>
        <w:gridCol w:w="976"/>
        <w:gridCol w:w="109"/>
        <w:gridCol w:w="109"/>
        <w:gridCol w:w="109"/>
        <w:gridCol w:w="109"/>
        <w:gridCol w:w="232"/>
        <w:gridCol w:w="234"/>
        <w:gridCol w:w="276"/>
        <w:gridCol w:w="109"/>
        <w:gridCol w:w="109"/>
        <w:gridCol w:w="109"/>
        <w:gridCol w:w="211"/>
        <w:gridCol w:w="976"/>
        <w:gridCol w:w="109"/>
        <w:gridCol w:w="109"/>
        <w:gridCol w:w="109"/>
        <w:gridCol w:w="109"/>
        <w:gridCol w:w="232"/>
        <w:gridCol w:w="234"/>
        <w:gridCol w:w="321"/>
      </w:tblGrid>
      <w:tr>
        <w:trPr/>
        <w:tc>
          <w:tcPr>
            <w:tcW w:w="181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4,169,836 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5,154,892 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4,304,400 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127" w:type="dxa"/>
        <w:jc w:val="center"/>
        <w:tblInd w:w="0" w:type="dxa"/>
        <w:tblLayout w:type="fixed"/>
        <w:tblCellMar>
          <w:top w:w="28" w:type="dxa"/>
          <w:left w:w="28" w:type="dxa"/>
          <w:bottom w:w="28" w:type="dxa"/>
          <w:right w:w="28" w:type="dxa"/>
        </w:tblCellMar>
      </w:tblPr>
      <w:tblGrid>
        <w:gridCol w:w="1819"/>
        <w:gridCol w:w="1594"/>
        <w:gridCol w:w="1612"/>
        <w:gridCol w:w="211"/>
        <w:gridCol w:w="976"/>
        <w:gridCol w:w="109"/>
        <w:gridCol w:w="109"/>
        <w:gridCol w:w="109"/>
        <w:gridCol w:w="109"/>
        <w:gridCol w:w="232"/>
        <w:gridCol w:w="234"/>
        <w:gridCol w:w="276"/>
        <w:gridCol w:w="109"/>
        <w:gridCol w:w="109"/>
        <w:gridCol w:w="109"/>
        <w:gridCol w:w="211"/>
        <w:gridCol w:w="976"/>
        <w:gridCol w:w="109"/>
        <w:gridCol w:w="109"/>
        <w:gridCol w:w="109"/>
        <w:gridCol w:w="109"/>
        <w:gridCol w:w="232"/>
        <w:gridCol w:w="234"/>
        <w:gridCol w:w="321"/>
      </w:tblGrid>
      <w:tr>
        <w:trPr/>
        <w:tc>
          <w:tcPr>
            <w:tcW w:w="181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9,783,125 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8,171,772 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described in more detail below, as a result of strong demand for our services across most of the market sectors we serve, our consolidated revenues for the three months ended June 30, 2026 increased to $5.15 billion compared to consolidated revenues of $4.30 billion for the three months ended June 30, 2025, and our consolidated revenues for the six months ended June 30, 2026 increased to $9.78 billion compared to consolidated revenues of $8.17 billion for the six months ended June 30, 2025. Revenues for the three and six months ended June 30, 2026 included incremental acquisition contribution of $169.2 million and $403.3 million, respectively.</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Revenues of our United States electrical construction and facilities services segment were $1.66 billion for the three months ended June 30, 2026, a $322.3 million increase compared to revenues of $1.34 billion for the three months ended June 30, 2025. Revenues of this segment for the six months ended June 30, 2026 were $3.11 billion, a $681.8 million increase compared to revenues of $2.43 billion for the six months ended June 30, 2025. This segment’s results for the three and six months ended June 30, 2026 benefited from increased activity across a number of the market sectors we serve as well as incremental acquisition revenues of $20.5 million and $130.9 million, respectively. While the largest increase was seen within the network and communications market sector, predominantly driven by greater demand for data center construction projects, this segment also experienced notable revenue growth within: (a) the institutional market sector, primarily as a result of increased revenues from public sector work, and (b) the hospitality and entertainment market sector, due to select project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opportunities. Revenues of this segment for both 2026 periods additionally included greater levels of short-duration projects and service work. Partially offsetting these increases were decreased revenues resulting from: (a) the completion or substantial completion of several construction contracts within: (i) the healthcare market sector and (ii) the high-tech manufacturing market sector, including certain bio-tech and semiconductor projects, and (b) the transportation market sector, reflecting significant progress made on an airport construction project as well as our intentional reduction of roadway lighting and traffic signal project exposure.</w:t>
      </w:r>
    </w:p>
    <w:p>
      <w:pPr>
        <w:pStyle w:val="TextBody"/>
        <w:bidi w:val="0"/>
        <w:spacing w:lineRule="auto" w:line="288" w:before="13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United States mechanical construction and facilities services segment’s revenues for the three months ended June 30, 2026 were $2.30 billion, a $545.6 million increase compared to revenues of $1.76 billion for the three months ended June 30, 2025. For the six months ended June 30, 2026, revenues of this segment were $4.33 billion, a $1.0 billion increase compared to revenues of $3.33 billion for the six months ended June 30, 2025. This segment’s results for the three and six months ended June 30, 2026 included $148.7 million and $272.4 million, respectively, of incremental acquisition revenues. This segment experienced increased revenues within the majority of the market sectors in which we operate, with the most significant increase coming from the network and communications market sector due to greater demand for data center construction projects. Notable growth was additionally generated from: (a) the institutional market sector, reflecting increased education and public sector projects, partially as a result of the incremental acquisition contribution, (b) the commercial market sector, primarily given an increase in warehousing and distribution project revenues, and (c) the manufacturing and industrial market sector, including certain food processing projects. Further contributing to the year-over-year revenue increases within this segment were greater levels of service work, including fire life safety inspection and maintenance. These increases were partially offset by revenue declines from the high-tech manufacturing market sector, largely as we completed certain semiconductor manufacturing construction projects in the prior year.</w:t>
      </w:r>
    </w:p>
    <w:p>
      <w:pPr>
        <w:pStyle w:val="TextBody"/>
        <w:bidi w:val="0"/>
        <w:spacing w:lineRule="auto" w:line="288" w:before="13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of our United States building services segment were $837.7 million for the three months ended June 30, 2026 compared to revenues of $793.3 million for the three months ended June 30, 2025. Revenues of this segment for the six months ended June 30, 2026 were $1.61 billion compared to revenues of $1.54 billion for the six months ended June 30, 2025. Growth in this segment for both 2026 periods was generated by: (a) its mechanical services division, which experienced increased: (i) service repair and maintenance volumes, given growth in our service contract base, (ii) HVAC project and retrofit work, as demand for these services remained strong, and (iii) building automation and controls projects, as we continue to expand our service offerings in this area, and (b) its commercial site-based services division due to the award of facilities maintenance contracts with new customers as well as scope or site expansion and greater project work with existing customers.</w:t>
      </w:r>
    </w:p>
    <w:p>
      <w:pPr>
        <w:pStyle w:val="TextBody"/>
        <w:bidi w:val="0"/>
        <w:spacing w:lineRule="auto" w:line="288" w:before="13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of our United States industrial services segment for the three months ended June 30, 2026 were $353.8 million compared to revenues of $281.1 million for the three months ended June 30, 2025. Revenues of this segment for the six months ended June 30, 2026 were $735.6 million compared to revenues of $640.1 million for the six months ended June 30, 2025. The increase in this segment’s revenues for both 2026 periods was driven by its field services division as a result of: (a) greater turnaround activity, (b) higher petrochemical project volume, and (c) progress made on a large solar project during the first half of 2026. Partially offsetting this growth was a decrease in revenues of this segment’s shop services division due to lower heat exchanger sales and related services.</w:t>
      </w:r>
    </w:p>
    <w:p>
      <w:pPr>
        <w:pStyle w:val="TextBody"/>
        <w:bidi w:val="0"/>
        <w:spacing w:lineRule="auto" w:line="288" w:before="13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our United Kingdom building services segment generated revenues of $134.6 million and $239.9 million,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of sales and gross profit</w:t>
      </w:r>
    </w:p>
    <w:p>
      <w:pPr>
        <w:pStyle w:val="TextBody"/>
        <w:bidi w:val="0"/>
        <w:spacing w:lineRule="auto" w:line="288" w:before="70" w:after="283"/>
        <w:ind w:left="0" w:right="0" w:firstLine="450"/>
        <w:jc w:val="both"/>
        <w:rPr/>
      </w:pPr>
      <w:r>
        <w:rPr>
          <w:rFonts w:ascii="Times New Roman;serif" w:hAnsi="Times New Roman;serif"/>
          <w:b w:val="false"/>
          <w:color w:val="000000"/>
          <w:sz w:val="20"/>
        </w:rPr>
        <w:t>The following table presents our cost of sales, gross profit (revenues less cost of sales), and gross profit as a percentage of revenues (“gross profit margin”) (in thousands, except for percentages):</w:t>
      </w:r>
      <w:r>
        <w:rPr>
          <w:color w:val="000000"/>
        </w:rPr>
        <w:t> </w:t>
      </w:r>
    </w:p>
    <w:tbl>
      <w:tblPr>
        <w:tblW w:w="8537" w:type="dxa"/>
        <w:jc w:val="left"/>
        <w:tblInd w:w="0" w:type="dxa"/>
        <w:tblLayout w:type="fixed"/>
        <w:tblCellMar>
          <w:top w:w="28" w:type="dxa"/>
          <w:left w:w="28" w:type="dxa"/>
          <w:bottom w:w="28" w:type="dxa"/>
          <w:right w:w="28" w:type="dxa"/>
        </w:tblCellMar>
      </w:tblPr>
      <w:tblGrid>
        <w:gridCol w:w="608"/>
        <w:gridCol w:w="532"/>
        <w:gridCol w:w="53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6"/>
      </w:tblGrid>
      <w:tr>
        <w:trPr/>
        <w:tc>
          <w:tcPr>
            <w:tcW w:w="60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4,132,513 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3,470,629 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7,896,796 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6,615,283 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1,022,379 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1,886,329 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1,556,489 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7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for the three months ended June 30, 2026 was $1.02 billion, or 19.8% of revenues, compared to gross profit of $833.8 million, or 19.4% of revenues, for the three months ended June 30, 2025. Gross profit for the six months ended June 30, 2026 was $1.89 billion, or 19.3% of revenues, compared to gross profit of $1.56 billion, or 19.0% of revenues, for the six months ended June 30, 2025. Gross profit for the three and six months ended June 30, 2026 included incremental acquisition contribution of $34.1 million and $82.4 million, respectively, net of amortization expense attributable to identifiable intangible assets of $3.2 million and $8.1 million, respectively. Excluding the impact of acquisitions, these year-over-year increases resulted from the revenue growth generated by each of our reportable segments as well as an increase in gross profit margin, notably within our United States electrical construction and facilities services segment and our United States building services segment, as described in further detail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00" w:after="283"/>
        <w:ind w:left="0" w:right="0" w:firstLine="450"/>
        <w:jc w:val="both"/>
        <w:rPr/>
      </w:pPr>
      <w:r>
        <w:rPr>
          <w:rFonts w:ascii="Times New Roman;serif" w:hAnsi="Times New Roman;serif"/>
          <w:b w:val="false"/>
          <w:color w:val="000000"/>
          <w:sz w:val="20"/>
        </w:rPr>
        <w:t>The following table presents our selling, general and administrative expenses (“SG&amp;A”) and selling, general and administrative expenses as a percentage of revenues (“SG&amp;A margin”) (in thousands, except for percentages):</w:t>
      </w:r>
      <w:r>
        <w:rPr>
          <w:color w:val="000000"/>
        </w:rPr>
        <w:t> </w:t>
      </w:r>
    </w:p>
    <w:tbl>
      <w:tblPr>
        <w:tblW w:w="9993" w:type="dxa"/>
        <w:jc w:val="center"/>
        <w:tblInd w:w="0" w:type="dxa"/>
        <w:tblLayout w:type="fixed"/>
        <w:tblCellMar>
          <w:top w:w="28" w:type="dxa"/>
          <w:left w:w="28" w:type="dxa"/>
          <w:bottom w:w="28" w:type="dxa"/>
          <w:right w:w="28" w:type="dxa"/>
        </w:tblCellMar>
      </w:tblPr>
      <w:tblGrid>
        <w:gridCol w:w="1354"/>
        <w:gridCol w:w="1189"/>
        <w:gridCol w:w="1192"/>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822,521 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margin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selling, general and administrative expenses for the three months ended June 30, 2026 were $475.0 million, or 9.2% of revenues, compared to selling, general and administrative expenses of $418.6 million, or 9.7% of revenues, for the three months ended June 30, 2025. Selling, general and administrative expenses for the six months ended June 30, 2026 were $935.1 million, or 9.6% of revenues, compared to selling, general and administrative expenses of $822.5 million, or 10.1% of revenues, for the six months ended June 30, 2025. Selling, general and administrative expenses for the three and six months ended June 30, 2026 included $20.2 million and $47.8 million, respectively, of incremental expenses directly related to companies acquired, including amortization expense attributable to identifiable intangible assets of $2.4 million and $6.3 million, respectively.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Excluding incremental expenses resulting from acquisitions, the increase in our selling, general and administrative expenses for both 2026 periods was primarily as a result of greater: (a) incentive compensation expense, predominantly within our United States construction segments, given higher projected annual operating results, (b) salaries expense, due to additional headcount to support our organic revenue growth as well as annual cost of living adjustments, (c) rent and other occupancy costs, partially as a result of the continued build-out or expansion of our fabrication facilities, and (d) computer hardware and software costs, driven by various information technology and cybersecurity initiatives currently in process.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Partially offsetting the increase in selling, general and administrative expenses for the six months ended June 30, 2026 were reductions in: (a) professional fees, as the results for the prior year included $9.4 million of transaction related costs incurred in connection with the acquisition of Miller Electric, and (b) the provision for credit losses, given a reserve taken within our United States industrial services segment in the prior year. Selling, general and administrative expenses for the three and six months ended June 30, 2026 additionally decreased by $8.2 million and $15.4 million, respectively, as a result of the sale of EMCOR UK.</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our SG&amp;A margin for both 2026 periods was primarily due to an increase in revenues without a commensurate increase in certain costs as we successfully leveraged our overhead structure during this period of growth.</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income (loss)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operating income (loss) and operating income (loss) as a percentage of segment revenues (“operating margin”) (in thousands, except for percentages): </w:t>
      </w:r>
    </w:p>
    <w:tbl>
      <w:tblPr>
        <w:tblW w:w="10205" w:type="dxa"/>
        <w:jc w:val="center"/>
        <w:tblInd w:w="0" w:type="dxa"/>
        <w:tblLayout w:type="fixed"/>
        <w:tblCellMar>
          <w:top w:w="28" w:type="dxa"/>
          <w:left w:w="28" w:type="dxa"/>
          <w:bottom w:w="28" w:type="dxa"/>
          <w:right w:w="28" w:type="dxa"/>
        </w:tblCellMar>
      </w:tblPr>
      <w:tblGrid>
        <w:gridCol w:w="1806"/>
        <w:gridCol w:w="1584"/>
        <w:gridCol w:w="1595"/>
        <w:gridCol w:w="211"/>
        <w:gridCol w:w="826"/>
        <w:gridCol w:w="109"/>
        <w:gridCol w:w="109"/>
        <w:gridCol w:w="109"/>
        <w:gridCol w:w="109"/>
        <w:gridCol w:w="255"/>
        <w:gridCol w:w="256"/>
        <w:gridCol w:w="433"/>
        <w:gridCol w:w="109"/>
        <w:gridCol w:w="109"/>
        <w:gridCol w:w="109"/>
        <w:gridCol w:w="211"/>
        <w:gridCol w:w="826"/>
        <w:gridCol w:w="109"/>
        <w:gridCol w:w="109"/>
        <w:gridCol w:w="109"/>
        <w:gridCol w:w="109"/>
        <w:gridCol w:w="255"/>
        <w:gridCol w:w="256"/>
        <w:gridCol w:w="492"/>
      </w:tblGrid>
      <w:tr>
        <w:trPr/>
        <w:tc>
          <w:tcPr>
            <w:tcW w:w="180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Segment</w:t>
              <w:b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Segment</w:t>
              <w:br/>
              <w:t>Revenues</w:t>
            </w:r>
          </w:p>
        </w:tc>
      </w:tr>
      <w:tr>
        <w:trPr/>
        <w:tc>
          <w:tcPr>
            <w:tcW w:w="4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806"/>
        <w:gridCol w:w="1584"/>
        <w:gridCol w:w="1595"/>
        <w:gridCol w:w="211"/>
        <w:gridCol w:w="826"/>
        <w:gridCol w:w="109"/>
        <w:gridCol w:w="109"/>
        <w:gridCol w:w="109"/>
        <w:gridCol w:w="109"/>
        <w:gridCol w:w="255"/>
        <w:gridCol w:w="256"/>
        <w:gridCol w:w="433"/>
        <w:gridCol w:w="109"/>
        <w:gridCol w:w="109"/>
        <w:gridCol w:w="109"/>
        <w:gridCol w:w="211"/>
        <w:gridCol w:w="826"/>
        <w:gridCol w:w="109"/>
        <w:gridCol w:w="109"/>
        <w:gridCol w:w="109"/>
        <w:gridCol w:w="109"/>
        <w:gridCol w:w="255"/>
        <w:gridCol w:w="256"/>
        <w:gridCol w:w="492"/>
      </w:tblGrid>
      <w:tr>
        <w:trPr/>
        <w:tc>
          <w:tcPr>
            <w:tcW w:w="180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Segment</w:t>
              <w:b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Segment</w:t>
              <w:br/>
              <w:t>Revenues</w:t>
            </w:r>
          </w:p>
        </w:tc>
      </w:tr>
      <w:tr>
        <w:trPr/>
        <w:tc>
          <w:tcPr>
            <w:tcW w:w="4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electrical construction and 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mechanical construction and facilities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income for the three months ended June 30, 2026 was $547.3 million, an increase of $132.1 million compared to operating income of $415.2 million for the three months ended June 30, 2025. Operating margin for the three months ended June 30, 2026 was 10.6% compared to an operating margin of 9.6% for the three months ended June 30, 2025. For the six months ended June 30, 2026, operating income was $951.2 million, an increase of $217.2 million compared to operating income of $734.0 million for the six months ended June 30, 2025. Operating margin for the six months ended June 30, 2026 was 9.7% compared to an operating margin of 9.0% for the six months ended June 30, 2025. In addition to the impact of the revenue growth we experienced in the quarter, our operating performance benefited from an increase in consolidated gross profit margin as well as a reduction in the ratio of selling, general and administrative expenses to revenues. Operating income for the three and six months ended June 30, 2026 included incremental acquisition contribution of $13.9 million and $34.6 million, respectively, net of amortization expense attributable to identifiable intangible assets of $5.6 million and $14.4 million, respectively.</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income of our United States electrical construction and facilities services segment was $231.4 million for the three months ended June 30, 2026, an increase of $73.8 million compared to operating income of $157.6 million for the three months ended June 30, 2025. Operating income of this segment for the six months ended June 30, 2026 was $405.9 million, an increase of $112.2 million compared to operating income of $293.7 million for the six months ended June 30, 2025. For the three and six months ended June 30, 2026, operating margin of this segment was 13.9% and 13.1%, respectively, compared to an operating margin of 11.8% and 12.1% for the three and six months ended June 30, 2025, respectively. The increase in operating income and operating margin of this segment for both 2026 periods resulted from greater gross profit and gross profit margin given the growth in its revenues, excellent project execution, and a more favorable mix of work. From a market sector perspective, the most significant increase in gross profit was experienced within network and communications. This segment’s operating income for the six months ended June 30, 2026 included incremental acquisition contribution of $8.6 million, net of amortization expense attributable to identifiable intangible assets of $4.5 million.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United States mechanical construction and facilities services segment’s operating income for the three months ended June 30, 2026 was $286.6 million, an increase of $47.9 million compared to operating income of $238.7 million for the three months ended June 30, 2025. Operating income of this segment for the six months ended June 30, 2026 was $508.3 million, an increase of $82.8 million compared to operating income of $425.5 million for the six months ended June 30, 2025. The increase in operating income of this segment for both 2026 periods resulted from greater gross profit within the majority of the market sectors in which we operate, generally in line with the increases in revenue described above and with the most significant increase coming from network and communications. This segment’s operating income for the three and six months ended June 30, 2026 included incremental acquisition contribution of $14.1 million and $26.4 million, respectively, net of amortization expense attributable to identifiable intangible assets of $4.6 million and $9.4 million, respectively. For the three and six months ended June 30, 2026, operating margin of this segment was 12.5% and 11.7%, respectively, compared to an operating margin of 13.6% and 12.8% for the three and six months ended June 30, 2025, respectively. The 110 basis point decrease in this segment’s operating margin for both 2026 periods was primarily a result of a change in project mix, which included: (a) a greater percentage of revenues generated from projects for which we are acting as either the construction manager or prime contractor and that carry lower than average gross profit margins, and (b) an increase in the number of guaranteed maximum price and cost plus contracts, particularly in newer geographies or on projects where design or scope is still evolving.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income of our United States building services segment was $63.4 million, or 7.6% of revenues, for the three months ended June 30, 2026, compared to operating income of $50.0 million, or 6.3% of revenues, for the three months ended June 30, 2025. Operating income of this segment for the six months ended June 30, 2026 was $103.8 million, or 6.4% of revenues, compared to $86.5 million, or 5.6% of revenues, for the six months ended June 30, 2025. In addition to the impact of greater revenues, this segment’s operating results for both 2026 periods benefited from (a) an increase in gross profit margin, given a more favorable project mix as well as improved execution, and (b) a decrease in the ratio of selling, general and administrative expenses to revenues, partially due to lower overhead costs within its commercial and government site-based services divisions following the restructuring actions we completed in 2025.</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United States industrial services segment reported operating income of $9.6 million, or 2.7% of revenues, for the three months ended June 30, 2026, compared to an operating loss of $0.4 million, or (0.1)% of revenues, for the three months ended June 30, 2025. For the six months ended June 30, 2026, this segment reported operating income of $22.4 million, or 3.0% of revenues, compared to operating income of $6.3 million, or 1.0% of revenues, for the six months ended June 30, 2025. The increase in operating income of this segment for both 2026 periods was a result of an increase in gross profit within its field services division due to the revenue growth referenced above, while the increase in operating margin was attributable to a reduction in SG&amp;A margin given an increase in revenues without a commensurate increase in certain overhead costs. Additionally contributing to the favorable comparison for the six month period was the impact of a $5.0 million increase in the allowance for credit losses in 2025, which negatively impacted this segment’s operating margin by 80 basis points.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income of our United Kingdom building services segment for the three months ended June 30, 2025 was $8.4 million, or 6.3% of revenues, and operating income of such segment for the six months ended June 30, 2025 was $13.4 million, or 5.6% of revenues.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administration expenses for the three and six months ended June 30, 2026 were $43.7 million and $89.2 million, respectively, compared to $39.2 million and $91.4 million for the three and six months ended June 30, 2025, respectively. For both 2026 periods, our corporate expenses included greater employment and information technology costs. Offsetting the impact of these increases for the six months ended June 30, 2026 was a decrease in professional fees, as the prior year period included $9.4 million of transaction related costs incurred in connection with the acquisition of Miller Electric.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items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net interest income was $4.3 million, compared to net interest expense of $3.2 million for the three months ended June 30, 2025. For the six months ended June 30, 2026, net interest income was $10.5 million, compared to net interest income of $2.1 million for the six months ended June 30, 2025. These year-over-year fluctuations were a result of: (a) a decrease in interest expense, given the impact in the prior year of borrowings under our revolving credit facility, and (b) an increase in interest income due to a higher average daily invested cash balance.</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our income tax provision was $148.0 million and $252.6 million, respectively, compared to an income tax provision of $109.9 million and $193.4 million for the three and six months ended June 30, 2025, respectively. Our effective income tax rate for the three and six months ended June 30, 2026 was 26.8% and 26.3%, respectively, compared to an effective income tax rate for the three and six months ended June 30, 2025 of 26.7% and 26.3%, respectively. Refer to Note 9 - Income Taxes of the notes to consolidated financial statements for further discussion regarding our income tax provision and effective income tax rate.</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Remaining Unsatisfied Performance Obligations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transaction price allocated to remaining unsatisfied performance obligations (“remaining performance obligations”) for each of our reportable segments and their respective percentage of total remaining performance obligations (in thousands, except for percentages):</w:t>
      </w:r>
    </w:p>
    <w:tbl>
      <w:tblPr>
        <w:tblW w:w="10205" w:type="dxa"/>
        <w:jc w:val="center"/>
        <w:tblInd w:w="0" w:type="dxa"/>
        <w:tblLayout w:type="fixed"/>
        <w:tblCellMar>
          <w:top w:w="28" w:type="dxa"/>
          <w:left w:w="28" w:type="dxa"/>
          <w:bottom w:w="28" w:type="dxa"/>
          <w:right w:w="28" w:type="dxa"/>
        </w:tblCellMar>
      </w:tblPr>
      <w:tblGrid>
        <w:gridCol w:w="682"/>
        <w:gridCol w:w="589"/>
        <w:gridCol w:w="593"/>
        <w:gridCol w:w="211"/>
        <w:gridCol w:w="1081"/>
        <w:gridCol w:w="109"/>
        <w:gridCol w:w="109"/>
        <w:gridCol w:w="109"/>
        <w:gridCol w:w="109"/>
        <w:gridCol w:w="256"/>
        <w:gridCol w:w="210"/>
        <w:gridCol w:w="341"/>
        <w:gridCol w:w="109"/>
        <w:gridCol w:w="109"/>
        <w:gridCol w:w="109"/>
        <w:gridCol w:w="215"/>
        <w:gridCol w:w="1103"/>
        <w:gridCol w:w="111"/>
        <w:gridCol w:w="109"/>
        <w:gridCol w:w="109"/>
        <w:gridCol w:w="109"/>
        <w:gridCol w:w="256"/>
        <w:gridCol w:w="210"/>
        <w:gridCol w:w="341"/>
        <w:gridCol w:w="109"/>
        <w:gridCol w:w="109"/>
        <w:gridCol w:w="109"/>
        <w:gridCol w:w="211"/>
        <w:gridCol w:w="1081"/>
        <w:gridCol w:w="109"/>
        <w:gridCol w:w="109"/>
        <w:gridCol w:w="109"/>
        <w:gridCol w:w="109"/>
        <w:gridCol w:w="247"/>
        <w:gridCol w:w="219"/>
        <w:gridCol w:w="395"/>
      </w:tblGrid>
      <w:tr>
        <w:trPr/>
        <w:tc>
          <w:tcPr>
            <w:tcW w:w="6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electrical construction and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facilities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4,963,855 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mechanical construction and </w:t>
              <w:br/>
              <w:t>facilities services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6,929,300 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building services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1,188,537 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industrial services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operations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17,143,101 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13,253,664 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building services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17,143,101 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13,253,664 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11,914,388 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remaining performance obligations at June 30, 2026 were a record $17.14 billion compared to $13.25 billion at December 31, 2025 and $11.91 billion at June 30, 2025. When compared to December 31, 2025, remaining performance obligations increased by $3.89 billion due to new contract awards within our United States construction segments and our United States building services segment. We experienced growth in remaining performance obligations from the majority of the market sectors we serve, with the most significant increases within: (a) network and communications, predominantly as a result of several data center construction contracts, (b) healthcare, primarily resulting from certain contract awards in the Northeast region of the United States, (c) water and wastewater, given recent project awards in the Southeast region of the United States, and (d) institutional, largely as we continue to see demand for our services from education customers, including a number of colleges and universities. Partially offsetting these increases were reductions from the manufacturing and industrial and hospitality and entertainment market sectors, due to progress made on certain projects during the first half of 2026. See Note 3 - Revenue from Contracts with Customers of the notes to consolidated financial statements for further disclosure regarding our remaining performance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    </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section discusses our principal liquidity and capital resources, as well as our primary liquidity requirements and sources and uses of cash. </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on the efficient conversion of operating income into cash to provide for the Company’s material cash requirements, including working capital needs, investment in our growth strategies through business acquisitions and capital expenditures, satisfaction of contractual commitments, including principal and interest payments on any outstanding indebtedness, and shareholder return through share repurchases and dividend payments. We strive to maintain a balanced approach to capital allocation in order to achieve growth, deliver value, and minimize risk. </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monitors financial markets and overall economic conditions for factors that may affect our liquidity and capital resources and adjusts our capital allocation strategy as necessary. Negative macroeconomic trends could have an adverse effect on future liquidity if we experience delays in the payment of outstanding receivables beyond normal payment terms, an increase in credit losses, or significant increases in the price of commodities or the materials and equipment utilized for our project and service work, beyond those experienced in recent years. In addition, during economic downturns, there have typically been fewer small discretionary projects from the private sector and our competitors have aggressively bid larger long-term infrastructure and public sector contracts. Our liquidity is also impacted by: (a) the type and length of construction contracts in place, as performance of long duration contracts typically requires greater amounts of working capital, (b) the level of turnaround activities within our United States industrial services segment, as such projects are billed in arrears pursuant to contractual terms that are standard within the industry, and (c) the billing terms of our maintenance contracts, including those within our United States building services segment. While we strive to negotiate favorable billing terms, which allow us to invoice in advance of costs incurred on certain of our contracts, there can be no assurance that such terms will be agreed to by our customers.</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$924.4 million, which are maintained in depository accounts and highly liquid investments with original maturity dates of three months or less. Both our short-term and long-term liquidity requirements are expected to be met through our cash and cash equivalent balances, cash generated from our operations, and, as necessary, the borrowing capacity under our revolving credit facility. Our credit agreement provides for a $1.30 billion revolving credit facility, for which there was $1.23 billion of available capacity as of June 30, 2026. </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 to Note 7 - Debt of the notes to consolidated financial statements for further information regarding our credit agreement. Based upon our current credit rating and financial position, we can also reasonably expect to be able to secure long-term debt financing if required to achieve our strategic objectives; however, no assurances can be made that such debt financing will be available on favorable terms. We believe that we have sufficient financial resources available to meet our short-term and foreseeable long-term liquidity requirements.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140" w:after="20"/>
        <w:ind w:left="0" w:right="0" w:firstLine="450"/>
        <w:jc w:val="both"/>
        <w:rPr/>
      </w:pPr>
      <w:r>
        <w:rPr>
          <w:rFonts w:ascii="Times New Roman;serif" w:hAnsi="Times New Roman;serif"/>
          <w:b w:val="false"/>
          <w:color w:val="000000"/>
          <w:sz w:val="20"/>
        </w:rPr>
        <w:t>The following table presents a summary of our operating, investing, and financing cash flows (in thousands):</w:t>
      </w:r>
      <w:r>
        <w:rPr>
          <w:color w:val="000000"/>
        </w:rPr>
        <w:t>     </w:t>
      </w:r>
    </w:p>
    <w:tbl>
      <w:tblPr>
        <w:tblW w:w="9189" w:type="dxa"/>
        <w:jc w:val="left"/>
        <w:tblInd w:w="0" w:type="dxa"/>
        <w:tblLayout w:type="fixed"/>
        <w:tblCellMar>
          <w:top w:w="28" w:type="dxa"/>
          <w:left w:w="28" w:type="dxa"/>
          <w:bottom w:w="28" w:type="dxa"/>
          <w:right w:w="28" w:type="dxa"/>
        </w:tblCellMar>
      </w:tblPr>
      <w:tblGrid>
        <w:gridCol w:w="2307"/>
        <w:gridCol w:w="2031"/>
        <w:gridCol w:w="2037"/>
        <w:gridCol w:w="211"/>
        <w:gridCol w:w="901"/>
        <w:gridCol w:w="109"/>
        <w:gridCol w:w="109"/>
        <w:gridCol w:w="109"/>
        <w:gridCol w:w="109"/>
        <w:gridCol w:w="211"/>
        <w:gridCol w:w="901"/>
        <w:gridCol w:w="154"/>
      </w:tblGrid>
      <w:tr>
        <w:trPr/>
        <w:tc>
          <w:tcPr>
            <w:tcW w:w="230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our cash balance decreased by $187.6 million from $1.11 billion at December 31, 2025 to $924.4 million at June 30, 2026. Changes in our cash position from December 31, 2025 to June 30, 2026 are described in further detail below.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Operating Activities</w:t>
      </w:r>
      <w:r>
        <w:rPr>
          <w:color w:val="000000"/>
        </w:rPr>
        <w:t xml:space="preserve"> – </w:t>
      </w:r>
      <w:r>
        <w:rPr>
          <w:rFonts w:ascii="Times New Roman;serif" w:hAnsi="Times New Roman;serif"/>
          <w:b w:val="false"/>
          <w:color w:val="000000"/>
          <w:sz w:val="20"/>
        </w:rPr>
        <w:t>Operating cash flows generally represent our net income as adjusted for certain non-cash items and changes in assets and liabilities. Net cash provided by operating activities for the six months ended June 30, 2026 was $289.9 million compared to $302.2 million for the six months ended June 30, 2025. Despite the increase in our net income, the decrease in our operating cash flow was primarily a result of an increase in working capital given our strong organic revenue growth during the first half of 2026.</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Investing Activities</w:t>
      </w:r>
      <w:r>
        <w:rPr>
          <w:color w:val="000000"/>
        </w:rPr>
        <w:t xml:space="preserve"> – </w:t>
      </w:r>
      <w:r>
        <w:rPr>
          <w:rFonts w:ascii="Times New Roman;serif" w:hAnsi="Times New Roman;serif"/>
          <w:b w:val="false"/>
          <w:color w:val="000000"/>
          <w:sz w:val="20"/>
        </w:rPr>
        <w:t>Investing cash flows consist primarily of payments for acquisition of businesses, capital expenditures, and proceeds from the sale or disposal of property, plant, and equipment or other long-term assets. Net cash used in investing activities for the six months ended June 30, 2026 decreased by $786.1 million compared to the six months ended June 30, 2025, primarily due to a decrease in payments for acquisitions given the acquisition of Miller Electric in the prior year period.</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Financing Activities</w:t>
      </w:r>
      <w:r>
        <w:rPr>
          <w:color w:val="000000"/>
        </w:rPr>
        <w:t xml:space="preserve"> – </w:t>
      </w:r>
      <w:r>
        <w:rPr>
          <w:rFonts w:ascii="Times New Roman;serif" w:hAnsi="Times New Roman;serif"/>
          <w:b w:val="false"/>
          <w:color w:val="000000"/>
          <w:sz w:val="20"/>
        </w:rPr>
        <w:t>Financing cash flows consist primarily of the issuance and repayment of short-term and long-term debt, repurchases of common stock, payments of dividends to stockholders, and the issuance of common stock through certain equity plans. Net cash used in financing activities was $324.7 million for the six months ended June 30, 2026 compared to $231.1 million for the six months ended June 30, 2025. The $93.6 million increase in cash used in financing activities was primarily due to the impact of $250.0 million in net borrowings made under our revolving credit facility during the first half of 2025, partially offset by a $163.6 million decrease in common stock repurchases made by us year-over-year. The timing of common stock repurchases is at management’s discretion subject to securities laws and other legal requirements and depends upon several factors, including market and business conditions, current and anticipated future liquidity, share price, and share availability, among others. For additional detail regarding our share repurchase program, refer to Note 10 - Common Stock of the notes to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pay a regular quarterly dividend of $0.40 per share. For the six months ended June 30, 2026 and 2025, cash payments related to dividends were $35.6 million and $22.6 million, respectively. Our credit agreement places limitations on the payment of dividends on our common stock. However, we do not believe that the terms of such agreement currently materially limit our ability to pay such quarterly dividends for the foreseeable future.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Material Cash Requirements from Contractual and Other Obligations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short-term and long-term material cash requirements for known contractual and other obligations were as follows: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Outstanding Debt and Interest Payments</w:t>
      </w:r>
      <w:r>
        <w:rPr>
          <w:color w:val="000000"/>
        </w:rPr>
        <w:t xml:space="preserve"> – </w:t>
      </w:r>
      <w:r>
        <w:rPr>
          <w:rFonts w:ascii="Times New Roman;serif" w:hAnsi="Times New Roman;serif"/>
          <w:b w:val="false"/>
          <w:color w:val="000000"/>
          <w:sz w:val="20"/>
        </w:rPr>
        <w:t>As of June 30, 2026, there were no direct borrowings outstanding under our revolving credit facility. Interest payments on any future borrowings will be determined based on prevailing interest rates at that time. Refer to Note 7 - Debt of the notes to consolidated financial statements for further detail of our debt obligations, including our revolving credit facility.</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Operating and Finance Leases</w:t>
      </w:r>
      <w:r>
        <w:rPr>
          <w:color w:val="000000"/>
        </w:rPr>
        <w:t xml:space="preserve"> – </w:t>
      </w:r>
      <w:r>
        <w:rPr>
          <w:rFonts w:ascii="Times New Roman;serif" w:hAnsi="Times New Roman;serif"/>
          <w:b w:val="false"/>
          <w:color w:val="000000"/>
          <w:sz w:val="20"/>
        </w:rPr>
        <w:t>In the normal course of business, we lease real estate, vehicles, and equipment under various arrangements which are classified as either operating or finance leases. Future payments for such leases, excluding leases with initial terms of one year or less, were $661.7 million at June 30, 2026, with $132.8 million payable within the next 12 months.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Open Purchase Obligations</w:t>
      </w:r>
      <w:r>
        <w:rPr>
          <w:color w:val="000000"/>
        </w:rPr>
        <w:t xml:space="preserve"> – </w:t>
      </w:r>
      <w:r>
        <w:rPr>
          <w:rFonts w:ascii="Times New Roman;serif" w:hAnsi="Times New Roman;serif"/>
          <w:b w:val="false"/>
          <w:color w:val="000000"/>
          <w:sz w:val="20"/>
        </w:rPr>
        <w:t xml:space="preserve">As of June 30, 2026, we had $3.93 billion of open purchase obligations, of which payments totaling $3.07 billion are expected to become due within the next 12 months. These obligations represent open purchase orders to suppliers and subcontractors related to our construction and services contracts. These purchase orders are not reflected in the Consolidated Balance Sheets and are not expected to impact future liquidity as amounts should be recovered through customer billings.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Insurance Obligations</w:t>
      </w:r>
      <w:r>
        <w:rPr>
          <w:color w:val="000000"/>
        </w:rPr>
        <w:t xml:space="preserve"> – </w:t>
      </w:r>
      <w:r>
        <w:rPr>
          <w:rFonts w:ascii="Times New Roman;serif" w:hAnsi="Times New Roman;serif"/>
          <w:b w:val="false"/>
          <w:color w:val="000000"/>
          <w:sz w:val="20"/>
        </w:rPr>
        <w:t>As described in further detail in Note 11 - Commitments and Contingencies of the notes to consolidated financial statements, we have loss payment deductibles and/or self-insured retentions for certain insurance matters. As of June 30, 2026, our insurance liabilities, net of estimated recoveries, were $330.4 million. Of this net amount, $80.1 million is estimated to be payable within the next 12 months. Due to many uncertainties inherent in resolving these matters, it is not practical to estimate these payments beyond such period. To the extent that the amount required to settle claims covered by insurance continues to increase, the cost of our insurance coverage, including premiums and deductibles, is likely to increase.</w:t>
      </w:r>
    </w:p>
    <w:p>
      <w:pPr>
        <w:pStyle w:val="TextBody"/>
        <w:bidi w:val="0"/>
        <w:spacing w:before="16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180" w:after="283"/>
        <w:ind w:left="0" w:right="0" w:firstLine="450"/>
        <w:jc w:val="both"/>
        <w:rPr/>
      </w:pPr>
      <w:r>
        <w:rPr>
          <w:rFonts w:ascii="Times New Roman;serif" w:hAnsi="Times New Roman;serif"/>
          <w:b w:val="false"/>
          <w:i/>
          <w:color w:val="000000"/>
          <w:sz w:val="20"/>
        </w:rPr>
        <w:t>Contingent Consideration Liabilities</w:t>
      </w:r>
      <w:r>
        <w:rPr>
          <w:color w:val="000000"/>
        </w:rPr>
        <w:t xml:space="preserve"> – </w:t>
      </w:r>
      <w:r>
        <w:rPr>
          <w:rFonts w:ascii="Times New Roman;serif" w:hAnsi="Times New Roman;serif"/>
          <w:b w:val="false"/>
          <w:color w:val="000000"/>
          <w:sz w:val="20"/>
        </w:rPr>
        <w:t>We have incurred liabilities related to contingent consideration arrangements associated with certain acquisitions, payable in the event discrete performance objectives are achieved by the acquired businesses during designated post-acquisition periods. The aggregate amount of these liabilities can change due to additional business acquisitions, settlement of outstanding liabilities, changes in the fair value of amounts owed based on performance during such post-acquisition periods, and accretion in present value. As of June 30, 2026, the present value of expected future payments relating to these contingent consideration arrangements was $5.7 million. Of this amount, $4.3 million is estimated as being payable within the next 12 months.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material cash requirements for other potential obligations, for which we cannot reasonably estimate future payments, include the following:</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Legal Proceedings</w:t>
      </w:r>
      <w:r>
        <w:rPr>
          <w:color w:val="000000"/>
        </w:rPr>
        <w:t xml:space="preserve"> – </w:t>
      </w:r>
      <w:r>
        <w:rPr>
          <w:rFonts w:ascii="Times New Roman;serif" w:hAnsi="Times New Roman;serif"/>
          <w:b w:val="false"/>
          <w:color w:val="000000"/>
          <w:sz w:val="20"/>
        </w:rPr>
        <w:t>We are involved in several legal proceedings in which damages and claims have been asserted against us. While litigation is subject to many uncertainties and the outcome of litigation is not predictable with assurance, we do not believe that any such matters will have a material adverse effect on our financial position, results of operations, or liquidity. Refer to Note 11 - Commitments and Contingencies of the notes to consolidated financial statements for more information regarding legal proceedings.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Multiemployer Benefit Plans</w:t>
      </w:r>
      <w:r>
        <w:rPr>
          <w:color w:val="000000"/>
        </w:rPr>
        <w:t xml:space="preserve"> – </w:t>
      </w:r>
      <w:r>
        <w:rPr>
          <w:rFonts w:ascii="Times New Roman;serif" w:hAnsi="Times New Roman;serif"/>
          <w:b w:val="false"/>
          <w:color w:val="000000"/>
          <w:sz w:val="20"/>
        </w:rPr>
        <w:t>In addition to our Company sponsored benefit plans, we participate in certain multiemployer pension and other post-retirement plans. The cost of these plans is equal to the annual required contributions determined in accordance with the provisions of negotiated collective bargaining agreements. Our future contributions to the multiemployer plans are dependent upon a number of factors. Amounts of future contributions that we would be contractually obligated to make pursuant to these plans cannot be reasonably estimated. Refer to Note 14 - Retirement Plans of the notes to consolidated financial statements included in Item 8. Financial Statements and Supplementary Data of our Form 10-K for the year ended December 31, 2025 for more information regarding multiemployer benefit plans.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Off-Balance Sheet Arrangements and Other Commercial Commitments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As of June 30, 2026, based on the percentage-of-completion of our projects covered by surety bonds, our aggregate estimated exposure, assuming defaults on all our then existing contractual obligations, was $4.30 billion, which represents approximately 25% of our total remaining performance obligations.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Surety bonds expire at various times ranging from final completion of a project to a period extending beyond contract completion in certain circumstances. Such amounts can also fluctuate from period to period based upon the mix and level of our bonded operating activity. For example, public sector contracts require surety bonds more frequently than private sector contracts and, accordingly, our bonding requirements typically increase as the amount of our public sector work increases. Our estimated maximum exposure as it relates to the value of the surety bonds outstanding is lowered on each bonded project as the cost to complete is reduced, and each commitment under a surety bond generally extinguishes concurrently with the expiration of its related contractual obligation.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Surety bonds are sometimes provided to secure obligations for wages and benefits payable to or for certain of our employees, at the request of labor unions representing such employees. In addition, surety bonds or letters of credit may be issued as collateral for certain insurance obligations. As of June 30, 2026, we satisfied $105.5 million and $73.1 million of the collateral requirements of our insurance programs by utilizing surety bonds and letters of credit, respectively. All such letters of credit were issued under our revolving credit facility, therefore reducing the available capacity of such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not aware of any losses in connection with surety bonds that have been posted on our behalf, and we do not expect to incur significant losses in the foreseeable future.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discuss with our current and other surety bond providers the amounts of surety bonds that may be available to us based on our financial strength and the absence of any default by us on any surety bond issued on our behalf and believe those amounts are currently adequate for our needs. However, if we experience changes in our bonding relationships or if there are adverse changes in the surety industry, we may: (a) seek to satisfy certain customer requests for surety bonds by posting other forms of collateral in lieu of surety bonds, such as letters of credit, parent company guarantees, or cash, in order to convince customers to forego the requirement for surety bonds, (b) increase our activities in our businesses that rarely require surety bonds, and/or (c) refrain from bidding for certain projects that require surety bonds. </w:t>
      </w:r>
    </w:p>
    <w:p>
      <w:pPr>
        <w:pStyle w:val="TextBody"/>
        <w:bidi w:val="0"/>
        <w:spacing w:before="16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we would be able to effectuate alternatives to providing surety bonds to our customers or to obtain, on favorable terms, sufficient additional work that does not require surety bonds. Accordingly, a reduction in the availability of surety bonds could have a material adverse effect on our financial position, results of operations, and/or cash flows.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at times, guarantee obligations of our subsidiaries under certain contracts. Generally, we are liable under such an arrangement only if our subsidiary fails to perform its obligations under the contract. Historically, we have not incurred any substantial liabilities as a consequence of these guarantees.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have any other material financial guarantees or off-balance sheet arrangements other than those disclosed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review new accounting standards to determine the expected impact, if any, that the adoption of such standards will have on our financial position and/or results of operations. See Note 2 - New Accounting Pronouncements of the notes to consolidated financial statements for further information regarding new accounting standards, including the anticipated dates of adoption and the effects on our consolidated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is based on the application of significant accounting policies, which require management to make estimates and assumptions. Our significant accounting policies are described further in Note 2 - Summary of Significant Accounting Policies of the notes to consolidated financial statements included in Item 8. Financial Statements and Supplementary Data of our Form 10-K for the year ended December 31, 2025. We base our estimates on historical experience, known or expected trends, third-party valuations, and various other assumptions that we believe to be reasonable under the circumstances. As future events and their effects cannot be determined with precision, actual results could differ significantly from these estimates. There have been no significant changes to our critical accounting policies or methods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not used any derivative financial instruments during the six months ended June 30, 2026, including trading or speculating on changes in interest rates or commodity prices of materials used in our business.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for changes in interest rates for any borrowings under our revolving credit facility, which bear interest at variable rates. Although the Federal Reserve Board lowered the federal funds rate in 2024 and 2025, the pace and extent of additional rate cuts are uncertain. For further information regarding our credit facility and associated borrowing rates, refer to Note 7 - Debt of the notes to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construction market risk and its potential related impact on accounts receivable or contract assets on uncompleted contracts. The amounts recorded may be at risk if our customers’ ability to pay these obligations is negatively impacted by economic conditions. We continually monitor the creditworthiness of our customers and maintain on-going discussions with customers regarding contract status with respect to change orders and billing terms. Therefore, we believe we take appropriate action to manage such market and other risks, but there is no assurance that we will be able to reasonably identify all risks with respect to the collectability of these assets.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are exposed to market risk of fluctuations in certain commodity prices of materials, such as copper and steel, which are used as components of supplies or materials utilized in our construction, building services, and industrial services operations. Trade and sanction policies (including tariffs) may also affect the pricing of such supplies and materials. We are also exposed to increases in energy prices, particularly as they relate to gasoline prices for our fleet of approximately 15,000 vehicles. While we believe we can increase our contract prices to adjust for some price increases in commodities, there can be no assurance that such price increases, if they were to occur, would be recoverable. Additionally, certain of our fixed price contracts do not allow us to adjust our prices and, as a result, increases in material costs could reduce our profitability with respect to projects in progress.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an evaluation of our disclosure controls and procedures (as required by Rule 13a-15(b) of the Securities Exchange Act of 1934), our Chairman, President, and Chief Executive Officer, Anthony J. Guzzi, and our Senior Vice President, Chief Financial Officer and Chief Accounting Officer, Jason R. Nalbandian, have concluded that our disclosure controls and procedures (as defined in Rule 13a-15(e) of the Securities Exchange Act of 1934) are effective as of the end of the period covered by this report.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such term is defined in Rules 13a-15(f) and 15d-15(f) under the Securities Exchange Act of 1934) during the fiscal quarter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Note 11 - Commitments and Contingencies of the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summarizes repurchases of our common stock made by us during the quarter ended June 30, 2026:    </w:t>
      </w:r>
      <w:r>
        <w:rPr>
          <w:color w:val="000000"/>
        </w:rPr>
        <w:t> </w:t>
      </w:r>
    </w:p>
    <w:tbl>
      <w:tblPr>
        <w:tblW w:w="10205" w:type="dxa"/>
        <w:jc w:val="left"/>
        <w:tblInd w:w="0" w:type="dxa"/>
        <w:tblLayout w:type="fixed"/>
        <w:tblCellMar>
          <w:top w:w="28" w:type="dxa"/>
          <w:left w:w="28" w:type="dxa"/>
          <w:bottom w:w="28" w:type="dxa"/>
          <w:right w:w="28" w:type="dxa"/>
        </w:tblCellMar>
      </w:tblPr>
      <w:tblGrid>
        <w:gridCol w:w="501"/>
        <w:gridCol w:w="440"/>
        <w:gridCol w:w="443"/>
        <w:gridCol w:w="109"/>
        <w:gridCol w:w="109"/>
        <w:gridCol w:w="109"/>
        <w:gridCol w:w="624"/>
        <w:gridCol w:w="624"/>
        <w:gridCol w:w="626"/>
        <w:gridCol w:w="109"/>
        <w:gridCol w:w="109"/>
        <w:gridCol w:w="109"/>
        <w:gridCol w:w="477"/>
        <w:gridCol w:w="477"/>
        <w:gridCol w:w="479"/>
        <w:gridCol w:w="109"/>
        <w:gridCol w:w="109"/>
        <w:gridCol w:w="109"/>
        <w:gridCol w:w="655"/>
        <w:gridCol w:w="655"/>
        <w:gridCol w:w="656"/>
        <w:gridCol w:w="109"/>
        <w:gridCol w:w="109"/>
        <w:gridCol w:w="109"/>
        <w:gridCol w:w="655"/>
        <w:gridCol w:w="655"/>
        <w:gridCol w:w="930"/>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w:t>
            </w:r>
          </w:p>
          <w:p>
            <w:pPr>
              <w:pStyle w:val="TableContents"/>
              <w:bidi w:val="0"/>
              <w:spacing w:lineRule="auto" w:line="240" w:before="0" w:after="0"/>
              <w:jc w:val="center"/>
              <w:rPr/>
            </w:pPr>
            <w:r>
              <w:rPr>
                <w:rFonts w:ascii="Times New Roman;serif" w:hAnsi="Times New Roman;serif"/>
                <w:b/>
                <w:color w:val="000000"/>
                <w:sz w:val="18"/>
              </w:rPr>
              <w:t xml:space="preserve">Shares Purchased </w:t>
            </w:r>
            <w:r>
              <w:rPr>
                <w:rFonts w:ascii="Times New Roman;serif" w:hAnsi="Times New Roman;serif"/>
                <w:b/>
                <w:color w:val="000000"/>
                <w:sz w:val="12"/>
              </w:rPr>
              <w:t xml:space="preserve">(1)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 Price</w:t>
            </w:r>
          </w:p>
          <w:p>
            <w:pPr>
              <w:pStyle w:val="TableContents"/>
              <w:bidi w:val="0"/>
              <w:spacing w:lineRule="auto" w:line="240" w:before="0" w:after="0"/>
              <w:jc w:val="center"/>
              <w:rPr/>
            </w:pPr>
            <w:r>
              <w:rPr>
                <w:rFonts w:ascii="Times New Roman;serif" w:hAnsi="Times New Roman;serif"/>
                <w:b/>
                <w:color w:val="000000"/>
                <w:sz w:val="18"/>
              </w:rPr>
              <w:t xml:space="preserve">Paid Per Share </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w:t>
              <w:br/>
              <w:t>Purchased as Part of</w:t>
              <w:br/>
              <w:t>Publicly Announced</w:t>
              <w:b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w:t>
              <w:br/>
              <w:t>of Shares That May Yet Be</w:t>
              <w:br/>
              <w:t>Purchased  Under</w:t>
              <w:br/>
              <w:t>the Plans or Programs</w:t>
            </w:r>
          </w:p>
        </w:tc>
      </w:tr>
      <w:tr>
        <w:trPr/>
        <w:tc>
          <w:tcPr>
            <w:tcW w:w="13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w:t>
              <w:br/>
              <w:t>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$592,732,337</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w:t>
              <w:br/>
              <w:t>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$562,514,912</w:t>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w:t>
              <w:b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$415,240,711</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8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(1)In September 2011, our Board of Directors (the “Board”) authorized a share repurchase program allowing us to begin repurchasing shares of our outstanding common stock. Subsequently, the Board has from time to time increased the amount authorized for repurchases under such program. Since the inception of the repurchase program, through June 30, 2026, the Board has authorized us to repurchase up to $3.65 billion of our outstanding common stock. As of June 30, 2026, there remained authorization for us to repurchase $415.2 million of our shares. No shares have been repurchased by us since the program was announced other than pursuant to such program. The repurchase program has no expiration date, does not obligate the Company to acquire any particular amount of common stock, and may be suspended, recommenced, or discontinued at any time or from time to time without prior notice. Refer to Note 10 - Common Stock of the notes to consolidated financial statements for further information regarding our share repurchase program.</w:t>
      </w:r>
    </w:p>
    <w:p>
      <w:pPr>
        <w:pStyle w:val="TextBody"/>
        <w:bidi w:val="0"/>
        <w:spacing w:lineRule="auto" w:line="288" w:before="10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(2)Excludes 371 shares surrendered to the Company by participants in our share-based compensation plans to satisfy minimum tax withholdings for common stock issued under such plans.</w:t>
      </w:r>
    </w:p>
    <w:p>
      <w:pPr>
        <w:pStyle w:val="TextBody"/>
        <w:bidi w:val="0"/>
        <w:spacing w:lineRule="auto" w:line="288" w:before="10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(3)Price paid per share excludes any applicable broker commission and excise tax due. However, as such amounts are considered direct costs associated with the repurchase of our common stock, they have been reflected as a reduction in the remaining authorization under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Information concerning mine safety violations or other regulatory matters required by Section 1503(a) of the Dodd-Frank Wall Street Reform and Consumer Protection Act and Item 104 of Regulation S-K (17 CFR 229.104) is included in Exhibit 95.1 to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May 6, 2026, Maxine L. Mauricio, our Executive Vice President, Chief Administrative Officer, and General Counsel, adopted a Rule 10b5-1 trading arrangement providing for the potential sale of an aggregate amount of up to 2,500 shares of our common stock, with the exact number of shares to be sold to be determined based on market prices of our common stock. The trading arrangement is intended to satisfy the affirmative defense in Rule 10b5-1(c) of the Securities Exchange Act of 1934. The duration of the trading arrangement is from August 5, 2026 until August 5, 2027, or earlier if all transactions under the trading arrangement are completed or such arrangement is terminated.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2026, no other directors or executive officers of the Company adopted or terminated any: (a) contract, instruction, or written plan for the purchase or sale of Company securities intended to satisfy the affirmative defense conditions of Rule 10b5-1 or (b) non 10b5-1 trading arrangement, each as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275"/>
        <w:gridCol w:w="2130"/>
        <w:gridCol w:w="2152"/>
        <w:gridCol w:w="109"/>
        <w:gridCol w:w="109"/>
        <w:gridCol w:w="109"/>
        <w:gridCol w:w="751"/>
        <w:gridCol w:w="659"/>
        <w:gridCol w:w="938"/>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to or</w:t>
              <w:br/>
              <w:t>Filed Herewith, as Indicated Below</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EMCOR filed December 15, 1994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Exhibit 3(a-5) to EMCOR’s Registration Statement on Form 10 as originally filed March 17, 1995 (“Form 10”)</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dated November 28, 1995 to the Restated Certificate of Incorporation of EMCOR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Exhibit 3(a-2) to EMCOR’s Annual Report on Form 10-K for the year ended December 31, 1995 (“1995 Form 10-K”)</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dated February 12, 1998 to the Restated Certificate of Incorporation of EMCOR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Exhibit 3(a-3) to EMCOR’s Annual Report on Form 10-K for the year ended December 31, 1997 (“1997 Form 10-K”)</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dated January 27, 2006 to the Restated Certificate of Incorporation of EMCOR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Exhibit 3(a-4) to EMCOR’s Annual Report on Form 10-K for the year ended December 31, 2005 (“2005 Form 10-K”)</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3(a-5)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dated September 18, 2007 to the Restated Certificate of Incorporation of EMCOR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Exhibit A to EMCOR’s Proxy Statement dated August 17, 2007 for Special Meeting of Stockholders held September 18, 2007</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3(a-6)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Certificate of Amendment of Restated Certificate of Incorporation of EMCOR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Exhibit 3.1 to EMCOR’s Report on Form 8-K (Date of Report June 8, 2023)</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Amended and Restated By-Laws of EMCOR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Exhibit 3.1 to EMCOR’s Report on Form 8-K (Date of Report October 25, 2022)</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by Anthony J. Guzzi, the Chairman, 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me-ex311_2026630xq2.htm">
              <w:r>
                <w:rPr>
                  <w:rStyle w:val="InternetLink"/>
                  <w:rFonts w:ascii="Times New Roman;serif" w:hAnsi="Times New Roman;serif"/>
                  <w:b w:val="false"/>
                  <w:color w:val="0000FF"/>
                  <w:sz w:val="20"/>
                  <w:u w:val="single"/>
                </w:rPr>
                <w:t>Filed herewith</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by Jason R. Nalbandian, the Senior Vice President, Chief Financial Officer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me-ex312_2026630xq2.htm">
              <w:r>
                <w:rPr>
                  <w:rStyle w:val="InternetLink"/>
                  <w:rFonts w:ascii="Times New Roman;serif" w:hAnsi="Times New Roman;serif"/>
                  <w:b w:val="false"/>
                  <w:color w:val="0000FF"/>
                  <w:sz w:val="20"/>
                  <w:u w:val="single"/>
                </w:rPr>
                <w:t>Filed herewith</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Pursuant to Section 906 of the Sarbanes-Oxley Act of 2002 by the Chairman, 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me-ex321_2026630xq2.htm">
              <w:r>
                <w:rPr>
                  <w:rStyle w:val="InternetLink"/>
                  <w:rFonts w:ascii="Times New Roman;serif" w:hAnsi="Times New Roman;serif"/>
                  <w:b w:val="false"/>
                  <w:color w:val="0000FF"/>
                  <w:sz w:val="20"/>
                  <w:u w:val="single"/>
                </w:rPr>
                <w:t>Furnished</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Pursuant to Section 906 of the Sarbanes-Oxley Act of 2002 by the Senior Vice President, Chief Financial Officer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me-ex322_2026630xq2.htm">
              <w:r>
                <w:rPr>
                  <w:rStyle w:val="InternetLink"/>
                  <w:rFonts w:ascii="Times New Roman;serif" w:hAnsi="Times New Roman;serif"/>
                  <w:b w:val="false"/>
                  <w:color w:val="0000FF"/>
                  <w:sz w:val="20"/>
                  <w:u w:val="single"/>
                </w:rPr>
                <w:t>Furnished</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Information concerning mine safety violations or other regulatory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me-ex951_2026630xq2.htm">
              <w:r>
                <w:rPr>
                  <w:rStyle w:val="InternetLink"/>
                  <w:rFonts w:ascii="Times New Roman;serif" w:hAnsi="Times New Roman;serif"/>
                  <w:b w:val="false"/>
                  <w:color w:val="0000FF"/>
                  <w:sz w:val="20"/>
                  <w:u w:val="single"/>
                </w:rPr>
                <w:t>Filed herewith</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EMCOR Group, Inc.’s Quarterly Report on Form 10-Q for the quarter ended June 30, 2026, formatted in iXBRL (Inline eXtensible Business Reporting Language): (i) the Consolidated Balance Sheets, (ii) the Condensed Consolidated Statements of Operations, (iii) the Condensed Consolidated Statements of Comprehensive Income, (iv) the Condensed Consolidated Statements of Cash Flows, (v) the Condensed Consolidated Statements of Equity and (vi) the Notes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w:t>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893076b09554d308008913ae4b82887_10">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p>
      <w:pPr>
        <w:pStyle w:val="TextBody"/>
        <w:bidi w:val="0"/>
        <w:spacing w:lineRule="auto" w:line="288" w:before="0" w:after="0"/>
        <w:jc w:val="left"/>
        <w:rPr>
          <w:color w:val="000000"/>
        </w:rPr>
      </w:pPr>
      <w:r>
        <w:rPr>
          <w:color w:val="000000"/>
        </w:rPr>
        <w:t> </w:t>
      </w:r>
    </w:p>
    <w:tbl>
      <w:tblPr>
        <w:tblW w:w="4574" w:type="dxa"/>
        <w:jc w:val="center"/>
        <w:tblInd w:w="0" w:type="dxa"/>
        <w:tblLayout w:type="fixed"/>
        <w:tblCellMar>
          <w:top w:w="28" w:type="dxa"/>
          <w:left w:w="28" w:type="dxa"/>
          <w:bottom w:w="28" w:type="dxa"/>
          <w:right w:w="28" w:type="dxa"/>
        </w:tblCellMar>
      </w:tblPr>
      <w:tblGrid>
        <w:gridCol w:w="157"/>
        <w:gridCol w:w="137"/>
        <w:gridCol w:w="140"/>
        <w:gridCol w:w="1592"/>
        <w:gridCol w:w="1051"/>
        <w:gridCol w:w="1497"/>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EMCOR GROUP, INC.</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J. GUZZI</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Anthony J. Guzzi</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br/>
              <w:t>(Principal Executive Officer)</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B</w:t>
            </w:r>
            <w:r>
              <w:rPr>
                <w:rFonts w:ascii="Times New Roman;serif" w:hAnsi="Times New Roman;serif"/>
                <w:b w:val="false"/>
                <w:color w:val="000000"/>
                <w:sz w:val="16"/>
              </w:rPr>
              <w:t>Y</w:t>
            </w:r>
            <w:r>
              <w:rPr>
                <w:rFonts w:ascii="Times New Roman;serif" w:hAnsi="Times New Roman;serif"/>
                <w:b w:val="false"/>
                <w:color w:val="000000"/>
                <w:sz w:val="20"/>
              </w:rPr>
              <w:t>:</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R. NALBANDIAN</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R. Nalbandian</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w:t>
              <w:br/>
              <w:t>and Chief Accounting Officer</w:t>
              <w:br/>
              <w:t>(Principal Financial and Accounting Officer)</w:t>
            </w:r>
          </w:p>
        </w:tc>
      </w:tr>
    </w:tbl>
    <w:p>
      <w:pPr>
        <w:pStyle w:val="TextBody"/>
        <w:bidi w:val="0"/>
        <w:spacing w:lineRule="auto" w:line="288" w:before="0" w:after="0"/>
        <w:jc w:val="center"/>
        <w:rPr>
          <w:color w:val="000000"/>
        </w:rPr>
      </w:pPr>
      <w:r>
        <w:rPr>
          <w:color w:val="000000"/>
        </w:rPr>
        <w:t> </w:t>
      </w:r>
    </w:p>
    <w:p>
      <w:pPr>
        <w:pStyle w:val="TextBody"/>
        <w:bidi w:val="0"/>
        <w:spacing w:before="180" w:after="283"/>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00" w:after="10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CERTIFICATION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Anthony J. Guzzi, certify that: </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EMCOR Group, Inc.;</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ind w:left="0" w:right="0" w:hanging="180"/>
        <w:jc w:val="both"/>
        <w:rPr/>
      </w:pPr>
      <w:r>
        <w:rPr/>
      </w:r>
    </w:p>
    <w:p>
      <w:pPr>
        <w:pStyle w:val="TextBody"/>
        <w:bidi w:val="0"/>
        <w:spacing w:before="100" w:after="100"/>
        <w:ind w:left="0" w:right="0" w:hanging="180"/>
        <w:jc w:val="both"/>
        <w:rPr/>
      </w:pPr>
      <w:r>
        <w:rPr/>
      </w:r>
    </w:p>
    <w:tbl>
      <w:tblPr>
        <w:tblW w:w="6237"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211"/>
        <w:gridCol w:w="1211"/>
        <w:gridCol w:w="171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J. GUZZI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Anthony J. Guzzi </w:t>
              <w:b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00" w:after="10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CERTIFICATION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Jason R. Nalbandian, certify that:</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EMCOR Group, Inc.;</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ind w:left="0" w:right="0" w:hanging="180"/>
        <w:jc w:val="both"/>
        <w:rPr/>
      </w:pPr>
      <w:r>
        <w:rPr/>
      </w:r>
    </w:p>
    <w:p>
      <w:pPr>
        <w:pStyle w:val="TextBody"/>
        <w:bidi w:val="0"/>
        <w:spacing w:before="100" w:after="100"/>
        <w:ind w:left="0" w:right="0" w:hanging="180"/>
        <w:jc w:val="both"/>
        <w:rPr/>
      </w:pPr>
      <w:r>
        <w:rPr/>
      </w:r>
    </w:p>
    <w:tbl>
      <w:tblPr>
        <w:tblW w:w="5937"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124"/>
        <w:gridCol w:w="1124"/>
        <w:gridCol w:w="15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R. NALBANDIAN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R. Nalbandian</w:t>
              <w:br/>
              <w:t>Senior Vice President, Chief Financial Officer</w:t>
              <w:br/>
              <w:t xml:space="preserve">and Chief Accounting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EMCOR Group, Inc. (the “Company”) on Form 10-Q for the period ended June 30, 2026 as filed with the Securities and Exchange Commission on the date hereof (the “Report”), I, Anthony J. Guzzi, Chairman, President, and Chief Executive Officer of the Company, certify, pursuant to 18 U.S.C. Section 1350, as adopted pursuant to Section 906 of the Sarbanes-Oxley Act of 2002, that: </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00" w:after="100"/>
        <w:ind w:left="0" w:right="0" w:hanging="180"/>
        <w:jc w:val="both"/>
        <w:rPr/>
      </w:pPr>
      <w:r>
        <w:rPr/>
      </w:r>
    </w:p>
    <w:p>
      <w:pPr>
        <w:pStyle w:val="TextBody"/>
        <w:bidi w:val="0"/>
        <w:spacing w:before="0" w:after="0"/>
        <w:ind w:left="0" w:right="0" w:hanging="540"/>
        <w:jc w:val="center"/>
        <w:rPr/>
      </w:pPr>
      <w:r>
        <w:rPr/>
      </w:r>
    </w:p>
    <w:tbl>
      <w:tblPr>
        <w:tblW w:w="6237"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211"/>
        <w:gridCol w:w="1211"/>
        <w:gridCol w:w="171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J. GUZZI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Anthony J. Guzzi</w:t>
              <w:b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EMCOR Group, Inc. (the “Company”) on Form 10-Q for the period ended June 30, 2026 as filed with the Securities and Exchange Commission on the date hereof (the “Report”), I, Jason R. Nalbandian, Senior Vice President, Chief Financial Officer and Chief Accounting Officer of the Company, certify, pursuant to 18 U.S.C. Section 1350, as adopted pursuant to Section 906 of the Sarbanes-Oxley Act of 2002, that: </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00" w:after="100"/>
        <w:ind w:left="0" w:right="0" w:hanging="180"/>
        <w:jc w:val="both"/>
        <w:rPr/>
      </w:pPr>
      <w:r>
        <w:rPr/>
      </w:r>
    </w:p>
    <w:p>
      <w:pPr>
        <w:pStyle w:val="TextBody"/>
        <w:bidi w:val="0"/>
        <w:spacing w:before="0" w:after="0"/>
        <w:jc w:val="center"/>
        <w:rPr/>
      </w:pPr>
      <w:r>
        <w:rPr/>
      </w:r>
    </w:p>
    <w:tbl>
      <w:tblPr>
        <w:tblW w:w="5937"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124"/>
        <w:gridCol w:w="1124"/>
        <w:gridCol w:w="15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R. NALBANDIAN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R. Nalbandian</w:t>
              <w:br/>
              <w:t>Senior Vice President, Chief Financial Officer</w:t>
              <w:br/>
              <w:t>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95.1 </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MINE SAFETY DISCLOSURES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no disclosures to report under section 1503 for the period covered by this report.</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5634/0000899681-95-000061.txt" TargetMode="External"/><Relationship Id="rId3" Type="http://schemas.openxmlformats.org/officeDocument/2006/relationships/hyperlink" Target="https://www.sec.gov/Archives/edgar/data/105634/0000950130-96-000829.txt" TargetMode="External"/><Relationship Id="rId4" Type="http://schemas.openxmlformats.org/officeDocument/2006/relationships/hyperlink" Target="https://www.sec.gov/Archives/edgar/data/105634/0000889812-98-000514.txt" TargetMode="External"/><Relationship Id="rId5" Type="http://schemas.openxmlformats.org/officeDocument/2006/relationships/hyperlink" Target="https://www.sec.gov/Archives/edgar/data/105634/000093041306001268/c41117_ex3-a4.txt" TargetMode="External"/><Relationship Id="rId6" Type="http://schemas.openxmlformats.org/officeDocument/2006/relationships/hyperlink" Target="https://www.sec.gov/Archives/edgar/data/105634/000093041307006783/c49457_def14a.htm" TargetMode="External"/><Relationship Id="rId7" Type="http://schemas.openxmlformats.org/officeDocument/2006/relationships/hyperlink" Target="https://www.sec.gov/Archives/edgar/data/105634/000010563423000023/eme-ex31x20230608x8k.htm" TargetMode="External"/><Relationship Id="rId8" Type="http://schemas.openxmlformats.org/officeDocument/2006/relationships/hyperlink" Target="https://www.sec.gov/Archives/edgar/data/105634/000010563422000036/eme-ex31_20221025x8k.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24242</Words>
  <Characters>136853</Characters>
  <CharactersWithSpaces>159453</CharactersWithSpaces>
  <Paragraphs>3401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