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373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Guzzi Anthony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301 MERRITT SEVEN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EMCOR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EME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10/30/2025</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25"/>
        <w:spacing w:after="0"/>
        <w:rPr>
          <w:sz w:val="20"/>
          <w:szCs w:val="20"/>
          <w:color w:val="auto"/>
        </w:rPr>
      </w:pPr>
      <w:r>
        <w:rPr>
          <w:rFonts w:ascii="Times New Roman" w:cs="Times New Roman" w:eastAsia="Times New Roman" w:hAnsi="Times New Roman"/>
          <w:sz w:val="17"/>
          <w:szCs w:val="17"/>
          <w:color w:val="0000FF"/>
        </w:rPr>
        <w:t>Chairman, President and CEO</w:t>
      </w:r>
    </w:p>
    <w:p>
      <w:pPr>
        <w:spacing w:after="0" w:line="279" w:lineRule="exact"/>
        <w:rPr>
          <w:sz w:val="24"/>
          <w:szCs w:val="24"/>
          <w:color w:val="auto"/>
        </w:rPr>
      </w:pPr>
    </w:p>
    <w:p>
      <w:pPr>
        <w:sectPr>
          <w:pgSz w:w="11900" w:h="16838" w:orient="portrait"/>
          <w:cols w:equalWidth="0" w:num="3">
            <w:col w:w="3200" w:space="720"/>
            <w:col w:w="3095" w:space="720"/>
            <w:col w:w="3265"/>
          </w:cols>
          <w:pgMar w:left="460" w:top="219" w:right="43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1760" w:type="dxa"/>
            <w:vAlign w:val="bottom"/>
            <w:shd w:val="clear" w:color="auto" w:fill="9A9A9A"/>
          </w:tcPr>
          <w:p>
            <w:pPr>
              <w:spacing w:after="0"/>
              <w:rPr>
                <w:sz w:val="2"/>
                <w:szCs w:val="2"/>
                <w:color w:val="auto"/>
              </w:rPr>
            </w:pPr>
          </w:p>
        </w:tc>
        <w:tc>
          <w:tcPr>
            <w:tcW w:w="360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6"/>
            <w:vMerge w:val="restart"/>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600" w:type="dxa"/>
            <w:vAlign w:val="bottom"/>
            <w:gridSpan w:val="5"/>
            <w:vMerge w:val="continue"/>
          </w:tcPr>
          <w:p>
            <w:pPr>
              <w:spacing w:after="0"/>
              <w:rPr>
                <w:sz w:val="10"/>
                <w:szCs w:val="10"/>
                <w:color w:val="auto"/>
              </w:rPr>
            </w:pPr>
          </w:p>
        </w:tc>
        <w:tc>
          <w:tcPr>
            <w:tcW w:w="36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gridSpan w:val="2"/>
          </w:tcPr>
          <w:p>
            <w:pPr>
              <w:ind w:left="380"/>
              <w:spacing w:after="0"/>
              <w:rPr>
                <w:sz w:val="20"/>
                <w:szCs w:val="20"/>
                <w:color w:val="auto"/>
              </w:rPr>
            </w:pPr>
            <w:r>
              <w:rPr>
                <w:rFonts w:ascii="Arial" w:cs="Arial" w:eastAsia="Arial" w:hAnsi="Arial"/>
                <w:sz w:val="13"/>
                <w:szCs w:val="13"/>
                <w:color w:val="auto"/>
                <w:w w:val="96"/>
              </w:rPr>
              <w:t>Line)</w:t>
            </w: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NORWALK</w:t>
            </w:r>
          </w:p>
        </w:tc>
        <w:tc>
          <w:tcPr>
            <w:tcW w:w="7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CT</w:t>
            </w:r>
          </w:p>
        </w:tc>
        <w:tc>
          <w:tcPr>
            <w:tcW w:w="1760" w:type="dxa"/>
            <w:vAlign w:val="bottom"/>
          </w:tcPr>
          <w:p>
            <w:pPr>
              <w:ind w:left="560"/>
              <w:spacing w:after="0"/>
              <w:rPr>
                <w:sz w:val="20"/>
                <w:szCs w:val="20"/>
                <w:color w:val="auto"/>
              </w:rPr>
            </w:pPr>
            <w:r>
              <w:rPr>
                <w:rFonts w:ascii="Times New Roman" w:cs="Times New Roman" w:eastAsia="Times New Roman" w:hAnsi="Times New Roman"/>
                <w:sz w:val="17"/>
                <w:szCs w:val="17"/>
                <w:color w:val="0000FF"/>
              </w:rPr>
              <w:t>06851</w:t>
            </w: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40" w:type="dxa"/>
            <w:vAlign w:val="bottom"/>
            <w:gridSpan w:val="4"/>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760" w:type="dxa"/>
            <w:vAlign w:val="bottom"/>
            <w:tcBorders>
              <w:bottom w:val="single" w:sz="8" w:color="9A9A9A"/>
            </w:tcBorders>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40" w:type="dxa"/>
            <w:vAlign w:val="bottom"/>
            <w:gridSpan w:val="4"/>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740" w:type="dxa"/>
            <w:vAlign w:val="bottom"/>
            <w:tcBorders>
              <w:top w:val="single" w:sz="8" w:color="EEEEEE"/>
            </w:tcBorders>
            <w:vMerge w:val="restart"/>
          </w:tcPr>
          <w:p>
            <w:pPr>
              <w:ind w:left="80"/>
              <w:spacing w:after="0"/>
              <w:rPr>
                <w:sz w:val="20"/>
                <w:szCs w:val="20"/>
                <w:color w:val="auto"/>
              </w:rPr>
            </w:pPr>
            <w:r>
              <w:rPr>
                <w:rFonts w:ascii="Arial" w:cs="Arial" w:eastAsia="Arial" w:hAnsi="Arial"/>
                <w:sz w:val="13"/>
                <w:szCs w:val="13"/>
                <w:color w:val="auto"/>
              </w:rPr>
              <w:t>(State)</w:t>
            </w:r>
          </w:p>
        </w:tc>
        <w:tc>
          <w:tcPr>
            <w:tcW w:w="1760" w:type="dxa"/>
            <w:vAlign w:val="bottom"/>
            <w:tcBorders>
              <w:top w:val="single" w:sz="8" w:color="EEEEEE"/>
            </w:tcBorders>
            <w:vMerge w:val="restart"/>
          </w:tcPr>
          <w:p>
            <w:pPr>
              <w:ind w:left="560"/>
              <w:spacing w:after="0"/>
              <w:rPr>
                <w:sz w:val="20"/>
                <w:szCs w:val="20"/>
                <w:color w:val="auto"/>
              </w:rPr>
            </w:pPr>
            <w:r>
              <w:rPr>
                <w:rFonts w:ascii="Arial" w:cs="Arial" w:eastAsia="Arial" w:hAnsi="Arial"/>
                <w:sz w:val="13"/>
                <w:szCs w:val="13"/>
                <w:color w:val="auto"/>
              </w:rPr>
              <w:t>(Zip)</w:t>
            </w:r>
          </w:p>
        </w:tc>
        <w:tc>
          <w:tcPr>
            <w:tcW w:w="420" w:type="dxa"/>
            <w:vAlign w:val="bottom"/>
            <w:vMerge w:val="restart"/>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ind w:left="2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4220" w:type="dxa"/>
            <w:vAlign w:val="bottom"/>
            <w:tcBorders>
              <w:bottom w:val="single" w:sz="8" w:color="2C2C2C"/>
            </w:tcBorders>
            <w:gridSpan w:val="6"/>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100" w:type="dxa"/>
            <w:vAlign w:val="bottom"/>
            <w:tcBorders>
              <w:top w:val="single" w:sz="8" w:color="2C2C2C"/>
            </w:tcBorders>
            <w:gridSpan w:val="9"/>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18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180" w:type="dxa"/>
            <w:vAlign w:val="bottom"/>
            <w:gridSpan w:val="2"/>
          </w:tcPr>
          <w:p>
            <w:pPr>
              <w:ind w:left="1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60" w:type="dxa"/>
            <w:vAlign w:val="bottom"/>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180" w:type="dxa"/>
            <w:vAlign w:val="bottom"/>
            <w:gridSpan w:val="2"/>
          </w:tcPr>
          <w:p>
            <w:pPr>
              <w:ind w:left="11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180" w:type="dxa"/>
            <w:vAlign w:val="bottom"/>
            <w:gridSpan w:val="2"/>
          </w:tcPr>
          <w:p>
            <w:pPr>
              <w:ind w:left="1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060" w:type="dxa"/>
            <w:vAlign w:val="bottom"/>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18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2"/>
          </w:tcPr>
          <w:p>
            <w:pPr>
              <w:ind w:left="1220"/>
              <w:spacing w:after="0"/>
              <w:rPr>
                <w:sz w:val="20"/>
                <w:szCs w:val="20"/>
                <w:color w:val="auto"/>
              </w:rPr>
            </w:pPr>
            <w:r>
              <w:rPr>
                <w:rFonts w:ascii="Times New Roman" w:cs="Times New Roman" w:eastAsia="Times New Roman" w:hAnsi="Times New Roman"/>
                <w:sz w:val="17"/>
                <w:szCs w:val="17"/>
                <w:color w:val="0000FF"/>
              </w:rPr>
              <w:t>10/30/2025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vertAlign w:val="subscript"/>
              </w:rPr>
              <w:t>12</w:t>
            </w:r>
            <w:r>
              <w:rPr>
                <w:rFonts w:ascii="Times New Roman" w:cs="Times New Roman" w:eastAsia="Times New Roman" w:hAnsi="Times New Roman"/>
                <w:sz w:val="11"/>
                <w:szCs w:val="11"/>
                <w:color w:val="008000"/>
              </w:rPr>
              <w:t>(1)</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jc w:val="center"/>
              <w:ind w:right="134"/>
              <w:spacing w:after="0"/>
              <w:rPr>
                <w:sz w:val="20"/>
                <w:szCs w:val="20"/>
                <w:color w:val="auto"/>
              </w:rPr>
            </w:pPr>
            <w:r>
              <w:rPr>
                <w:rFonts w:ascii="Times New Roman" w:cs="Times New Roman" w:eastAsia="Times New Roman" w:hAnsi="Times New Roman"/>
                <w:sz w:val="17"/>
                <w:szCs w:val="17"/>
                <w:color w:val="0000FF"/>
              </w:rPr>
              <w:t>207,316</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Guzzi</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center"/>
              <w:ind w:right="214"/>
              <w:spacing w:after="0" w:line="213" w:lineRule="exact"/>
              <w:rPr>
                <w:sz w:val="20"/>
                <w:szCs w:val="20"/>
                <w:color w:val="auto"/>
              </w:rPr>
            </w:pPr>
            <w:r>
              <w:rPr>
                <w:rFonts w:ascii="Times New Roman" w:cs="Times New Roman" w:eastAsia="Times New Roman" w:hAnsi="Times New Roman"/>
                <w:sz w:val="17"/>
                <w:szCs w:val="17"/>
                <w:color w:val="0000FF"/>
              </w:rPr>
              <w:t>5,790</w:t>
            </w:r>
            <w:r>
              <w:rPr>
                <w:rFonts w:ascii="Times New Roman" w:cs="Times New Roman" w:eastAsia="Times New Roman" w:hAnsi="Times New Roman"/>
                <w:sz w:val="22"/>
                <w:szCs w:val="22"/>
                <w:color w:val="008000"/>
                <w:vertAlign w:val="superscript"/>
              </w:rPr>
              <w:t>(3)</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issued in respect of already outstanding RSUs as a consequence of a dividend paid on the Company's common stock on October 30, 2025. The RSUs issued on October 30, 2025 are subject to the same vesting and forfeiture provisions as the RSUs in respect of which they have been issued.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issuable in respect of RSUs.</w:t>
      </w:r>
    </w:p>
    <w:p>
      <w:pPr>
        <w:spacing w:after="0" w:line="50"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were transferred by the reporting person as a gift to the Guzzi Family Irrevocable Trust (the "Trust") for the benefit of the reporting person's children. The reporting person's spouse is trustee of the Trust. Such transfer was reported on a previously filed Form 4. The reporting person disclaims beneficial ownership of such securities.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Maxine L. Mauricio,</w:t>
            </w:r>
          </w:p>
        </w:tc>
        <w:tc>
          <w:tcPr>
            <w:tcW w:w="62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10/31/2025</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06045" TargetMode="External"/><Relationship Id="rId14" Type="http://schemas.openxmlformats.org/officeDocument/2006/relationships/hyperlink" Target="http://www.sec.gov/cgi-bin/browse-edgar?action=getcompany&amp;CIK=000010563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2025-10-31T11:31:53Z</dcterms:created>
  <dcterms:modified xsi:type="dcterms:W3CDTF">2025-10-31T11:31:53Z</dcterms:modified>
</cp:coreProperties>
</file>