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33020</wp:posOffset>
            </wp:positionV>
            <wp:extent cx="1080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-172085</wp:posOffset>
            </wp:positionV>
            <wp:extent cx="1080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2025</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9"/>
                <w:szCs w:val="19"/>
                <w:color w:val="auto"/>
              </w:rPr>
            </w:pPr>
          </w:p>
        </w:tc>
        <w:tc>
          <w:tcPr>
            <w:tcW w:w="3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20" w:type="dxa"/>
            <w:vAlign w:val="bottom"/>
            <w:gridSpan w:val="4"/>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5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2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EME</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6"/>
        </w:trPr>
        <w:tc>
          <w:tcPr>
            <w:tcW w:w="22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30, 2025, EMCOR Group, Inc. issued a press release disclosing results of operations for its fiscal 2025 third quarter ended September 30, 2025. A copy of such press release is furnished as Exhibit 99.1 to this Current Report on Form 8-K.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shall not be deemed to be “filed” for the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8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EMCOR Group, Inc. on October 30, 2025 disclosing results of operations for its fiscal 2025 third</w:t>
            </w:r>
          </w:p>
        </w:tc>
      </w:tr>
      <w:tr>
        <w:trPr>
          <w:trHeight w:val="155"/>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quarter ended September 30, 2025.</w:t>
            </w:r>
          </w:p>
        </w:tc>
        <w:tc>
          <w:tcPr>
            <w:tcW w:w="62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r>
      <w:tr>
        <w:trPr>
          <w:trHeight w:val="26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EMCOR Group, Inc.</w:t>
      </w:r>
    </w:p>
    <w:p>
      <w:pPr>
        <w:sectPr>
          <w:pgSz w:w="11900" w:h="16838" w:orient="portrait"/>
          <w:cols w:equalWidth="0" w:num="1">
            <w:col w:w="11240"/>
          </w:cols>
          <w:pgMar w:left="320" w:top="1319"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October 30, 2025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17145</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680" w:space="720"/>
            <w:col w:w="420" w:space="720"/>
            <w:col w:w="4700"/>
          </w:cols>
          <w:pgMar w:left="320" w:top="1319" w:right="339" w:bottom="1440" w:gutter="0" w:footer="0" w:header="0"/>
          <w:type w:val="continuous"/>
        </w:sectPr>
      </w:pPr>
    </w:p>
    <w:p>
      <w:pPr>
        <w:jc w:val="center"/>
        <w:ind w:left="368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7"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color w:val="auto"/>
        </w:rPr>
        <w:t>Chairman, President, and</w:t>
      </w:r>
    </w:p>
    <w:p>
      <w:pPr>
        <w:spacing w:after="0" w:line="3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19" w:right="339" w:bottom="1440" w:gutter="0" w:footer="0" w:header="0"/>
          <w:type w:val="continuous"/>
        </w:sectPr>
      </w:pPr>
    </w:p>
    <w:bookmarkStart w:id="2" w:name="page3"/>
    <w:bookmarkEnd w:id="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ind w:left="9980"/>
        <w:spacing w:after="0"/>
        <w:rPr>
          <w:sz w:val="20"/>
          <w:szCs w:val="20"/>
          <w:color w:val="auto"/>
        </w:rPr>
      </w:pPr>
      <w:r>
        <w:rPr>
          <w:rFonts w:ascii="Arial" w:cs="Arial" w:eastAsia="Arial" w:hAnsi="Arial"/>
          <w:sz w:val="20"/>
          <w:szCs w:val="20"/>
          <w:b w:val="1"/>
          <w:bCs w:val="1"/>
          <w:color w:val="auto"/>
        </w:rPr>
        <w:t>EXHIBIT 99.1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700" w:type="dxa"/>
            <w:vAlign w:val="bottom"/>
          </w:tcPr>
          <w:p>
            <w:pPr>
              <w:jc w:val="right"/>
              <w:ind w:right="164"/>
              <w:spacing w:after="0"/>
              <w:rPr>
                <w:sz w:val="20"/>
                <w:szCs w:val="20"/>
                <w:color w:val="auto"/>
              </w:rPr>
            </w:pPr>
            <w:r>
              <w:rPr>
                <w:rFonts w:ascii="Arial" w:cs="Arial" w:eastAsia="Arial" w:hAnsi="Arial"/>
                <w:sz w:val="18"/>
                <w:szCs w:val="18"/>
                <w:color w:val="auto"/>
              </w:rPr>
              <w:t>FOR:</w:t>
            </w:r>
          </w:p>
        </w:tc>
        <w:tc>
          <w:tcPr>
            <w:tcW w:w="2640" w:type="dxa"/>
            <w:vAlign w:val="bottom"/>
          </w:tcPr>
          <w:p>
            <w:pPr>
              <w:ind w:left="280"/>
              <w:spacing w:after="0"/>
              <w:rPr>
                <w:sz w:val="20"/>
                <w:szCs w:val="20"/>
                <w:color w:val="auto"/>
              </w:rPr>
            </w:pPr>
            <w:r>
              <w:rPr>
                <w:rFonts w:ascii="Arial" w:cs="Arial" w:eastAsia="Arial" w:hAnsi="Arial"/>
                <w:sz w:val="18"/>
                <w:szCs w:val="18"/>
                <w:color w:val="auto"/>
              </w:rPr>
              <w:t>EMCOR GROUP, INC.</w:t>
            </w:r>
          </w:p>
        </w:tc>
      </w:tr>
      <w:tr>
        <w:trPr>
          <w:trHeight w:val="280"/>
        </w:trPr>
        <w:tc>
          <w:tcPr>
            <w:tcW w:w="6700" w:type="dxa"/>
            <w:vAlign w:val="bottom"/>
          </w:tcPr>
          <w:p>
            <w:pPr>
              <w:jc w:val="right"/>
              <w:ind w:right="5164"/>
              <w:spacing w:after="0"/>
              <w:rPr>
                <w:sz w:val="20"/>
                <w:szCs w:val="20"/>
                <w:color w:val="auto"/>
              </w:rPr>
            </w:pPr>
            <w:r>
              <w:rPr>
                <w:rFonts w:ascii="Arial" w:cs="Arial" w:eastAsia="Arial" w:hAnsi="Arial"/>
                <w:sz w:val="22"/>
                <w:szCs w:val="22"/>
                <w:b w:val="1"/>
                <w:bCs w:val="1"/>
                <w:color w:val="auto"/>
                <w:w w:val="96"/>
              </w:rPr>
              <w:t>News Release</w:t>
            </w:r>
          </w:p>
        </w:tc>
        <w:tc>
          <w:tcPr>
            <w:tcW w:w="2640" w:type="dxa"/>
            <w:vAlign w:val="bottom"/>
          </w:tcPr>
          <w:p>
            <w:pPr>
              <w:spacing w:after="0"/>
              <w:rPr>
                <w:sz w:val="24"/>
                <w:szCs w:val="24"/>
                <w:color w:val="auto"/>
              </w:rPr>
            </w:pPr>
          </w:p>
        </w:tc>
      </w:tr>
      <w:tr>
        <w:trPr>
          <w:trHeight w:val="181"/>
        </w:trPr>
        <w:tc>
          <w:tcPr>
            <w:tcW w:w="6700" w:type="dxa"/>
            <w:vAlign w:val="bottom"/>
          </w:tcPr>
          <w:p>
            <w:pPr>
              <w:jc w:val="right"/>
              <w:ind w:right="164"/>
              <w:spacing w:after="0" w:line="181" w:lineRule="exact"/>
              <w:rPr>
                <w:sz w:val="20"/>
                <w:szCs w:val="20"/>
                <w:color w:val="auto"/>
              </w:rPr>
            </w:pPr>
            <w:r>
              <w:rPr>
                <w:rFonts w:ascii="Arial" w:cs="Arial" w:eastAsia="Arial" w:hAnsi="Arial"/>
                <w:sz w:val="18"/>
                <w:szCs w:val="18"/>
                <w:color w:val="auto"/>
              </w:rPr>
              <w:t>CONTACT:</w:t>
            </w:r>
          </w:p>
        </w:tc>
        <w:tc>
          <w:tcPr>
            <w:tcW w:w="2640" w:type="dxa"/>
            <w:vAlign w:val="bottom"/>
          </w:tcPr>
          <w:p>
            <w:pPr>
              <w:ind w:left="280"/>
              <w:spacing w:after="0" w:line="181" w:lineRule="exact"/>
              <w:rPr>
                <w:sz w:val="20"/>
                <w:szCs w:val="20"/>
                <w:color w:val="auto"/>
              </w:rPr>
            </w:pPr>
            <w:r>
              <w:rPr>
                <w:rFonts w:ascii="Arial" w:cs="Arial" w:eastAsia="Arial" w:hAnsi="Arial"/>
                <w:sz w:val="18"/>
                <w:szCs w:val="18"/>
                <w:color w:val="auto"/>
              </w:rPr>
              <w:t>Lucas Sullivan</w:t>
            </w:r>
          </w:p>
        </w:tc>
      </w:tr>
      <w:tr>
        <w:trPr>
          <w:trHeight w:val="175"/>
        </w:trPr>
        <w:tc>
          <w:tcPr>
            <w:tcW w:w="6700" w:type="dxa"/>
            <w:vAlign w:val="bottom"/>
          </w:tcPr>
          <w:p>
            <w:pPr>
              <w:spacing w:after="0"/>
              <w:rPr>
                <w:sz w:val="15"/>
                <w:szCs w:val="15"/>
                <w:color w:val="auto"/>
              </w:rPr>
            </w:pPr>
          </w:p>
        </w:tc>
        <w:tc>
          <w:tcPr>
            <w:tcW w:w="2640" w:type="dxa"/>
            <w:vAlign w:val="bottom"/>
          </w:tcPr>
          <w:p>
            <w:pPr>
              <w:ind w:left="280"/>
              <w:spacing w:after="0" w:line="176" w:lineRule="exact"/>
              <w:rPr>
                <w:sz w:val="20"/>
                <w:szCs w:val="20"/>
                <w:color w:val="auto"/>
              </w:rPr>
            </w:pPr>
            <w:r>
              <w:rPr>
                <w:rFonts w:ascii="Arial" w:cs="Arial" w:eastAsia="Arial" w:hAnsi="Arial"/>
                <w:sz w:val="18"/>
                <w:szCs w:val="18"/>
                <w:color w:val="auto"/>
              </w:rPr>
              <w:t>Director</w:t>
            </w:r>
          </w:p>
        </w:tc>
      </w:tr>
      <w:tr>
        <w:trPr>
          <w:trHeight w:val="184"/>
        </w:trPr>
        <w:tc>
          <w:tcPr>
            <w:tcW w:w="6700" w:type="dxa"/>
            <w:vAlign w:val="bottom"/>
          </w:tcPr>
          <w:p>
            <w:pPr>
              <w:spacing w:after="0"/>
              <w:rPr>
                <w:sz w:val="15"/>
                <w:szCs w:val="15"/>
                <w:color w:val="auto"/>
              </w:rPr>
            </w:pPr>
          </w:p>
        </w:tc>
        <w:tc>
          <w:tcPr>
            <w:tcW w:w="2640" w:type="dxa"/>
            <w:vAlign w:val="bottom"/>
          </w:tcPr>
          <w:p>
            <w:pPr>
              <w:ind w:left="280"/>
              <w:spacing w:after="0" w:line="183" w:lineRule="exact"/>
              <w:rPr>
                <w:sz w:val="20"/>
                <w:szCs w:val="20"/>
                <w:color w:val="auto"/>
              </w:rPr>
            </w:pPr>
            <w:r>
              <w:rPr>
                <w:rFonts w:ascii="Arial" w:cs="Arial" w:eastAsia="Arial" w:hAnsi="Arial"/>
                <w:sz w:val="18"/>
                <w:szCs w:val="18"/>
                <w:color w:val="auto"/>
                <w:w w:val="99"/>
              </w:rPr>
              <w:t>Financial Planning &amp; Analysis</w:t>
            </w:r>
          </w:p>
        </w:tc>
      </w:tr>
      <w:tr>
        <w:trPr>
          <w:trHeight w:val="239"/>
        </w:trPr>
        <w:tc>
          <w:tcPr>
            <w:tcW w:w="670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(203) 849-7938</w:t>
            </w:r>
          </w:p>
        </w:tc>
      </w:tr>
      <w:tr>
        <w:trPr>
          <w:trHeight w:val="644"/>
        </w:trPr>
        <w:tc>
          <w:tcPr>
            <w:tcW w:w="670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FTI Consulting, Inc.</w:t>
            </w:r>
          </w:p>
        </w:tc>
      </w:tr>
      <w:tr>
        <w:trPr>
          <w:trHeight w:val="175"/>
        </w:trPr>
        <w:tc>
          <w:tcPr>
            <w:tcW w:w="6700" w:type="dxa"/>
            <w:vAlign w:val="bottom"/>
          </w:tcPr>
          <w:p>
            <w:pPr>
              <w:spacing w:after="0"/>
              <w:rPr>
                <w:sz w:val="15"/>
                <w:szCs w:val="15"/>
                <w:color w:val="auto"/>
              </w:rPr>
            </w:pPr>
          </w:p>
        </w:tc>
        <w:tc>
          <w:tcPr>
            <w:tcW w:w="2640" w:type="dxa"/>
            <w:vAlign w:val="bottom"/>
          </w:tcPr>
          <w:p>
            <w:pPr>
              <w:ind w:left="280"/>
              <w:spacing w:after="0" w:line="176" w:lineRule="exact"/>
              <w:rPr>
                <w:sz w:val="20"/>
                <w:szCs w:val="20"/>
                <w:color w:val="auto"/>
              </w:rPr>
            </w:pPr>
            <w:r>
              <w:rPr>
                <w:rFonts w:ascii="Arial" w:cs="Arial" w:eastAsia="Arial" w:hAnsi="Arial"/>
                <w:sz w:val="18"/>
                <w:szCs w:val="18"/>
                <w:color w:val="auto"/>
              </w:rPr>
              <w:t>Investors: Blake Mueller</w:t>
            </w:r>
          </w:p>
        </w:tc>
      </w:tr>
      <w:tr>
        <w:trPr>
          <w:trHeight w:val="239"/>
        </w:trPr>
        <w:tc>
          <w:tcPr>
            <w:tcW w:w="670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(718) 578-3706</w:t>
            </w:r>
          </w:p>
        </w:tc>
      </w:tr>
    </w:tbl>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EMCOR GROUP, INC. REPORTS THIRD QUARTER 2025 RESULTS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Record Third Quarter Revenues of $4.30 billion, 16.4% Increase Year-over-Year</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Record Third Quarter Diluted EPS of $6.57, 13.3% Increase Year-over-Year</w:t>
      </w:r>
    </w:p>
    <w:p>
      <w:pPr>
        <w:spacing w:after="0" w:line="50" w:lineRule="exact"/>
        <w:rPr>
          <w:sz w:val="20"/>
          <w:szCs w:val="20"/>
          <w:color w:val="auto"/>
        </w:rPr>
      </w:pPr>
    </w:p>
    <w:p>
      <w:pPr>
        <w:jc w:val="center"/>
        <w:spacing w:after="0" w:line="319" w:lineRule="auto"/>
        <w:rPr>
          <w:sz w:val="20"/>
          <w:szCs w:val="20"/>
          <w:color w:val="auto"/>
        </w:rPr>
      </w:pPr>
      <w:r>
        <w:rPr>
          <w:rFonts w:ascii="Arial" w:cs="Arial" w:eastAsia="Arial" w:hAnsi="Arial"/>
          <w:sz w:val="18"/>
          <w:szCs w:val="18"/>
          <w:b w:val="1"/>
          <w:bCs w:val="1"/>
          <w:i w:val="1"/>
          <w:iCs w:val="1"/>
          <w:color w:val="auto"/>
        </w:rPr>
        <w:t>Record Remaining Performance Obligations of $12.61 billion, nearly 29% Increase Year-over-Year Narrows 2025 Revenue Guidance Range to $16.7 billion - $16.8 billion from $16.4 billion - $16.9 billion Narrows Non-GAAP 2025 Diluted EPS Guidance Range to $25.00 - $25.75 from $24.50 - $25.75</w:t>
      </w:r>
    </w:p>
    <w:p>
      <w:pPr>
        <w:spacing w:after="0" w:line="200" w:lineRule="exact"/>
        <w:rPr>
          <w:sz w:val="20"/>
          <w:szCs w:val="20"/>
          <w:color w:val="auto"/>
        </w:rPr>
      </w:pP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NORWALK, CONNECTICUT, October 30, 2025 - EMCOR Group, Inc. (NYSE: EME) today reported results for the quarter ended September 30, 2025.</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2025 Results of Operations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for the third quarter of 2025 totaled $4.30 billion, an increase of 16.4%, compared to $3.70 billion for the third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2024. </w:t>
      </w:r>
      <w:r>
        <w:rPr>
          <w:rFonts w:ascii="Arial" w:cs="Arial" w:eastAsia="Arial" w:hAnsi="Arial"/>
          <w:sz w:val="21"/>
          <w:szCs w:val="21"/>
          <w:b w:val="1"/>
          <w:bCs w:val="1"/>
          <w:color w:val="auto"/>
        </w:rPr>
        <w:t>Net income</w:t>
      </w:r>
      <w:r>
        <w:rPr>
          <w:rFonts w:ascii="Arial" w:cs="Arial" w:eastAsia="Arial" w:hAnsi="Arial"/>
          <w:sz w:val="20"/>
          <w:szCs w:val="20"/>
          <w:color w:val="auto"/>
        </w:rPr>
        <w:t xml:space="preserve"> for the third quarter of 2025 was $295.4 million, or $6.57 per diluted share, compared to net income of $270.3 million, or $5.80 per diluted share, for the third quarter of 2024.</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the third quarter of 2025 was $405.7 million, or 9.4% of revenues, compared to operating income of</w:t>
      </w:r>
      <w:r>
        <w:rPr>
          <w:rFonts w:ascii="Arial" w:cs="Arial" w:eastAsia="Arial" w:hAnsi="Arial"/>
          <w:sz w:val="20"/>
          <w:szCs w:val="20"/>
          <w:b w:val="1"/>
          <w:bCs w:val="1"/>
          <w:color w:val="auto"/>
        </w:rPr>
        <w:t xml:space="preserve"> </w:t>
      </w:r>
      <w:r>
        <w:rPr>
          <w:rFonts w:ascii="Arial" w:cs="Arial" w:eastAsia="Arial" w:hAnsi="Arial"/>
          <w:sz w:val="20"/>
          <w:szCs w:val="20"/>
          <w:color w:val="auto"/>
        </w:rPr>
        <w:t>$363.5 million, or 9.8% of revenues, for the third quarter of 2024. Operating income included depreciation and amortization expense (inclusive of amortization of identifiable intangible assets) of $47.8 million and $34.5 million for the third quarter of 2025 and 2024, respectively.</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for the third quarter of 2025 totaled $429.6 million, or 10.0% of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$371.2 million, or 10.0% of revenues, for the third quarter of 2024.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b w:val="1"/>
          <w:bCs w:val="1"/>
          <w:color w:val="auto"/>
        </w:rPr>
        <w:t>income tax rate</w:t>
      </w:r>
      <w:r>
        <w:rPr>
          <w:rFonts w:ascii="Arial" w:cs="Arial" w:eastAsia="Arial" w:hAnsi="Arial"/>
          <w:sz w:val="20"/>
          <w:szCs w:val="20"/>
          <w:color w:val="auto"/>
        </w:rPr>
        <w:t xml:space="preserve"> for the third quarter of 2025 was 27.5%, compared to 27.4% for the third quarter of 2024.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3" w:name="page4"/>
    <w:bookmarkEnd w:id="3"/>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60400"/>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Third Quarter 2025 Results</w:t>
      </w:r>
      <w:r>
        <w:rPr>
          <w:sz w:val="20"/>
          <w:szCs w:val="20"/>
          <w:color w:val="auto"/>
        </w:rPr>
        <w:tab/>
      </w:r>
      <w:r>
        <w:rPr>
          <w:rFonts w:ascii="Arial" w:cs="Arial" w:eastAsia="Arial" w:hAnsi="Arial"/>
          <w:sz w:val="19"/>
          <w:szCs w:val="19"/>
          <w:b w:val="1"/>
          <w:bCs w:val="1"/>
          <w:color w:val="auto"/>
        </w:rPr>
        <w:t>Page 2</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Remaining performance obligations </w:t>
      </w:r>
      <w:r>
        <w:rPr>
          <w:rFonts w:ascii="Arial" w:cs="Arial" w:eastAsia="Arial" w:hAnsi="Arial"/>
          <w:sz w:val="20"/>
          <w:szCs w:val="20"/>
          <w:color w:val="auto"/>
        </w:rPr>
        <w:t>(“RPOs”) as of September 30, 2025, were a record $12.61 billion, compared to $9.79</w:t>
      </w:r>
      <w:r>
        <w:rPr>
          <w:rFonts w:ascii="Arial" w:cs="Arial" w:eastAsia="Arial" w:hAnsi="Arial"/>
          <w:sz w:val="20"/>
          <w:szCs w:val="20"/>
          <w:b w:val="1"/>
          <w:bCs w:val="1"/>
          <w:color w:val="auto"/>
        </w:rPr>
        <w:t xml:space="preserve"> </w:t>
      </w:r>
      <w:r>
        <w:rPr>
          <w:rFonts w:ascii="Arial" w:cs="Arial" w:eastAsia="Arial" w:hAnsi="Arial"/>
          <w:sz w:val="20"/>
          <w:szCs w:val="20"/>
          <w:color w:val="auto"/>
        </w:rPr>
        <w:t>billion as of September 30, 2024, an increase of $2.82 billion year-over-year. The Company experienced increases in the majority of the sectors in which it operates, with the most significant growth coming from Network and Communications, Water and Wastewater, Institutional, and Manufacturing and Industrial. These increases were partially offset by a reduction in RPOs within the High-Tech Manufacturing sector, as the Company completed certain semiconductor manufacturing construction projects.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Tony Guzzi, Chairman, President, and Chief Executive Officer of EMCOR, commented, “We had an outstanding third quarter, with revenue growth of 16.4% and an exceptional 9.4% operating margin. Our results were driven by strong execution within the diverse sectors we serve as we continue to perform on complex and challenging projects. Our Remaining Performance Obligations are again at an all-time high as we continue to win and earn new business across multiple sectors, geographies, and trades. Our pipeline remains strong, reflecting the demand for our services and supporting our positive outlook for the rest of the year."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Nine Months 2025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for the first nine months of 2025 totaled $12.47 billion, an increase of 15.5%, compared to $10.80 billion for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nine months of 2024. </w:t>
      </w:r>
      <w:r>
        <w:rPr>
          <w:rFonts w:ascii="Arial" w:cs="Arial" w:eastAsia="Arial" w:hAnsi="Arial"/>
          <w:sz w:val="21"/>
          <w:szCs w:val="21"/>
          <w:b w:val="1"/>
          <w:bCs w:val="1"/>
          <w:color w:val="auto"/>
        </w:rPr>
        <w:t>Net income</w:t>
      </w:r>
      <w:r>
        <w:rPr>
          <w:rFonts w:ascii="Arial" w:cs="Arial" w:eastAsia="Arial" w:hAnsi="Arial"/>
          <w:sz w:val="20"/>
          <w:szCs w:val="20"/>
          <w:color w:val="auto"/>
        </w:rPr>
        <w:t xml:space="preserve"> for the first nine months of 2025 was $ 838.2 million, or $18.53 per diluted share, compared to net income of $715.0 million, or $15.21 per diluted share, for the first nine months of 2024. Net income for the first nine months of 2025 included $9.4 million, or $6.9 million after taxes, of transaction related costs associated with the acquisition of Miller Electric Company (“Miller Electric”), which closed during the first quarter of 2025. Excluding these transaction costs, non-GAAP net income for the first nine months of 2025 was $845.2 million, or $18.68 per diluted share.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the first nine months of 2025 was $1.14 billion, or 9.1% of revenues, compared to operating income of</w:t>
      </w:r>
      <w:r>
        <w:rPr>
          <w:rFonts w:ascii="Arial" w:cs="Arial" w:eastAsia="Arial" w:hAnsi="Arial"/>
          <w:sz w:val="20"/>
          <w:szCs w:val="20"/>
          <w:b w:val="1"/>
          <w:bCs w:val="1"/>
          <w:color w:val="auto"/>
        </w:rPr>
        <w:t xml:space="preserve"> </w:t>
      </w:r>
      <w:r>
        <w:rPr>
          <w:rFonts w:ascii="Arial" w:cs="Arial" w:eastAsia="Arial" w:hAnsi="Arial"/>
          <w:sz w:val="20"/>
          <w:szCs w:val="20"/>
          <w:color w:val="auto"/>
        </w:rPr>
        <w:t>$956.3 million, or 8.9% of revenues, for the first nine months of 2024. Excluding the previously referenced transaction costs associated with the Miller Electric transaction, non-GAAP operating income for the first nine months of 2025 was $ 1.15 billion, or 9.2% of revenues. Operating income included depreciation and amortization expense (inclusive of amortization of identifiable intangible assets) of $136.4 million and $98.4 million for the first nine months of 2025 and 2024, respectively.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Refer to the attached tables for a reconciliation of non-GAAP operating income, non-GAAP operating margin, non-GAAP net income, and non-GAAP diluted earnings per share to the comparable GAAP measures.</w:t>
      </w:r>
    </w:p>
    <w:p>
      <w:pPr>
        <w:spacing w:after="0" w:line="203"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b w:val="1"/>
          <w:bCs w:val="1"/>
          <w:color w:val="auto"/>
        </w:rPr>
        <w:t xml:space="preserve">Selling, general and administrative </w:t>
      </w:r>
      <w:r>
        <w:rPr>
          <w:rFonts w:ascii="Arial" w:cs="Arial" w:eastAsia="Arial" w:hAnsi="Arial"/>
          <w:sz w:val="21"/>
          <w:szCs w:val="21"/>
          <w:b w:val="1"/>
          <w:bCs w:val="1"/>
          <w:color w:val="auto"/>
        </w:rPr>
        <w:t>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totaled $1.25 billion, or 10.0% of revenues, for the first nine months of 2025,</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$1.05 million, or 9.7% of revenues, for the first nine months of 2024.</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b w:val="1"/>
          <w:bCs w:val="1"/>
          <w:color w:val="auto"/>
        </w:rPr>
        <w:t>income tax rate</w:t>
      </w:r>
      <w:r>
        <w:rPr>
          <w:rFonts w:ascii="Arial" w:cs="Arial" w:eastAsia="Arial" w:hAnsi="Arial"/>
          <w:sz w:val="20"/>
          <w:szCs w:val="20"/>
          <w:color w:val="auto"/>
        </w:rPr>
        <w:t xml:space="preserve"> for the first nine months of 2025 was 26.7%, compared to 27.0% for the first nine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4" w:name="page5"/>
    <w:bookmarkEnd w:id="4"/>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60400"/>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Third Quarter 2025 Results</w:t>
      </w:r>
      <w:r>
        <w:rPr>
          <w:sz w:val="20"/>
          <w:szCs w:val="20"/>
          <w:color w:val="auto"/>
        </w:rPr>
        <w:tab/>
      </w:r>
      <w:r>
        <w:rPr>
          <w:rFonts w:ascii="Arial" w:cs="Arial" w:eastAsia="Arial" w:hAnsi="Arial"/>
          <w:sz w:val="19"/>
          <w:szCs w:val="19"/>
          <w:b w:val="1"/>
          <w:bCs w:val="1"/>
          <w:color w:val="auto"/>
        </w:rPr>
        <w:t>Page 3</w:t>
      </w:r>
    </w:p>
    <w:p>
      <w:pPr>
        <w:spacing w:after="0" w:line="339"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 xml:space="preserve">Mr. Guzzi continued, “We have performed extremely well during the first nine months of 2025 with year-over-year revenue growth of 15.5%, a 19.2% increase in operating income, and an operating margin in excess of 9%. We are executing well across numerous sectors where demand for our services persists, bolstered by long-term underlying secular trends. Our </w:t>
      </w:r>
      <w:r>
        <w:rPr>
          <w:rFonts w:ascii="Arial" w:cs="Arial" w:eastAsia="Arial" w:hAnsi="Arial"/>
          <w:sz w:val="20"/>
          <w:szCs w:val="20"/>
          <w:b w:val="1"/>
          <w:bCs w:val="1"/>
          <w:color w:val="auto"/>
        </w:rPr>
        <w:t>Electrical</w:t>
      </w:r>
      <w:r>
        <w:rPr>
          <w:rFonts w:ascii="Arial" w:cs="Arial" w:eastAsia="Arial" w:hAnsi="Arial"/>
          <w:sz w:val="19"/>
          <w:szCs w:val="19"/>
          <w:color w:val="auto"/>
        </w:rPr>
        <w:t xml:space="preserve"> and </w:t>
      </w:r>
      <w:r>
        <w:rPr>
          <w:rFonts w:ascii="Arial" w:cs="Arial" w:eastAsia="Arial" w:hAnsi="Arial"/>
          <w:sz w:val="20"/>
          <w:szCs w:val="20"/>
          <w:b w:val="1"/>
          <w:bCs w:val="1"/>
          <w:color w:val="auto"/>
        </w:rPr>
        <w:t>Mechanical</w:t>
      </w:r>
      <w:r>
        <w:rPr>
          <w:rFonts w:ascii="Arial" w:cs="Arial" w:eastAsia="Arial" w:hAnsi="Arial"/>
          <w:sz w:val="19"/>
          <w:szCs w:val="19"/>
          <w:color w:val="auto"/>
        </w:rPr>
        <w:t xml:space="preserve"> Construction segments continue to drive our overall performance with combined year-to-date revenue growth of 23.3% and a combined operating margin of 12.4%. Our performance is further supported by our organic investments in virtual design construction technologies and prefabrication capabilities, which have increased our productivity and efficiency. As we progress to the end of the year, we remain focused on executing for our customers while delivering for our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2025 Guidance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Based on the momentum the Company has experienced year-to-date, while adjusting for the anticipated sale of the U.K.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Building Services segment in the fourth quarter, EMCOR currently expects the following for the full year 2025.</w:t>
      </w:r>
    </w:p>
    <w:p>
      <w:pPr>
        <w:spacing w:after="0" w:line="1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76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80" w:type="dxa"/>
            <w:vAlign w:val="bottom"/>
            <w:tcBorders>
              <w:top w:val="single" w:sz="8" w:color="auto"/>
              <w:right w:val="single" w:sz="8" w:color="auto"/>
            </w:tcBorders>
            <w:gridSpan w:val="3"/>
          </w:tcPr>
          <w:p>
            <w:pPr>
              <w:spacing w:after="0" w:line="227" w:lineRule="exact"/>
              <w:rPr>
                <w:sz w:val="20"/>
                <w:szCs w:val="20"/>
                <w:color w:val="auto"/>
              </w:rPr>
            </w:pPr>
            <w:r>
              <w:rPr>
                <w:rFonts w:ascii="Arial" w:cs="Arial" w:eastAsia="Arial" w:hAnsi="Arial"/>
                <w:sz w:val="20"/>
                <w:szCs w:val="20"/>
                <w:b w:val="1"/>
                <w:bCs w:val="1"/>
                <w:color w:val="auto"/>
              </w:rPr>
              <w:t xml:space="preserve">Current Guidance </w:t>
            </w:r>
            <w:r>
              <w:rPr>
                <w:rFonts w:ascii="Arial" w:cs="Arial" w:eastAsia="Arial" w:hAnsi="Arial"/>
                <w:sz w:val="14"/>
                <w:szCs w:val="14"/>
                <w:b w:val="1"/>
                <w:bCs w:val="1"/>
                <w:i w:val="1"/>
                <w:iCs w:val="1"/>
                <w:color w:val="auto"/>
              </w:rPr>
              <w:t>(10/30/25)</w:t>
            </w:r>
          </w:p>
        </w:tc>
        <w:tc>
          <w:tcPr>
            <w:tcW w:w="3760" w:type="dxa"/>
            <w:vAlign w:val="bottom"/>
            <w:tcBorders>
              <w:top w:val="single" w:sz="8" w:color="auto"/>
              <w:right w:val="single" w:sz="8" w:color="auto"/>
            </w:tcBorders>
            <w:gridSpan w:val="4"/>
          </w:tcPr>
          <w:p>
            <w:pPr>
              <w:jc w:val="center"/>
              <w:ind w:right="20"/>
              <w:spacing w:after="0" w:line="227" w:lineRule="exact"/>
              <w:rPr>
                <w:sz w:val="20"/>
                <w:szCs w:val="20"/>
                <w:color w:val="auto"/>
              </w:rPr>
            </w:pPr>
            <w:r>
              <w:rPr>
                <w:rFonts w:ascii="Arial" w:cs="Arial" w:eastAsia="Arial" w:hAnsi="Arial"/>
                <w:sz w:val="20"/>
                <w:szCs w:val="20"/>
                <w:b w:val="1"/>
                <w:bCs w:val="1"/>
                <w:color w:val="auto"/>
                <w:w w:val="99"/>
              </w:rPr>
              <w:t xml:space="preserve">Previous Guidance </w:t>
            </w:r>
            <w:r>
              <w:rPr>
                <w:rFonts w:ascii="Arial" w:cs="Arial" w:eastAsia="Arial" w:hAnsi="Arial"/>
                <w:sz w:val="14"/>
                <w:szCs w:val="14"/>
                <w:b w:val="1"/>
                <w:bCs w:val="1"/>
                <w:i w:val="1"/>
                <w:iCs w:val="1"/>
                <w:color w:val="auto"/>
                <w:w w:val="99"/>
              </w:rPr>
              <w:t>(7/31/25)</w:t>
            </w:r>
          </w:p>
        </w:tc>
      </w:tr>
      <w:tr>
        <w:trPr>
          <w:trHeight w:val="61"/>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top w:val="single" w:sz="8" w:color="auto"/>
              <w:bottom w:val="single" w:sz="8" w:color="auto"/>
            </w:tcBorders>
          </w:tcPr>
          <w:p>
            <w:pPr>
              <w:spacing w:after="0"/>
              <w:rPr>
                <w:sz w:val="5"/>
                <w:szCs w:val="5"/>
                <w:color w:val="auto"/>
              </w:rPr>
            </w:pPr>
          </w:p>
        </w:tc>
        <w:tc>
          <w:tcPr>
            <w:tcW w:w="126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top w:val="single" w:sz="8" w:color="auto"/>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r>
      <w:tr>
        <w:trPr>
          <w:trHeight w:val="26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Revenues</w:t>
            </w:r>
          </w:p>
        </w:tc>
        <w:tc>
          <w:tcPr>
            <w:tcW w:w="660" w:type="dxa"/>
            <w:vAlign w:val="bottom"/>
          </w:tcPr>
          <w:p>
            <w:pPr>
              <w:spacing w:after="0"/>
              <w:rPr>
                <w:sz w:val="22"/>
                <w:szCs w:val="22"/>
                <w:color w:val="auto"/>
              </w:rPr>
            </w:pPr>
          </w:p>
        </w:tc>
        <w:tc>
          <w:tcPr>
            <w:tcW w:w="3080" w:type="dxa"/>
            <w:vAlign w:val="bottom"/>
            <w:tcBorders>
              <w:right w:val="single" w:sz="8" w:color="auto"/>
            </w:tcBorders>
            <w:gridSpan w:val="3"/>
          </w:tcPr>
          <w:p>
            <w:pPr>
              <w:ind w:left="40"/>
              <w:spacing w:after="0"/>
              <w:rPr>
                <w:sz w:val="20"/>
                <w:szCs w:val="20"/>
                <w:color w:val="auto"/>
              </w:rPr>
            </w:pPr>
            <w:r>
              <w:rPr>
                <w:rFonts w:ascii="Arial" w:cs="Arial" w:eastAsia="Arial" w:hAnsi="Arial"/>
                <w:sz w:val="20"/>
                <w:szCs w:val="20"/>
                <w:color w:val="auto"/>
              </w:rPr>
              <w:t>$16.7 billion – $16.8 billion</w:t>
            </w:r>
          </w:p>
        </w:tc>
        <w:tc>
          <w:tcPr>
            <w:tcW w:w="660" w:type="dxa"/>
            <w:vAlign w:val="bottom"/>
          </w:tcPr>
          <w:p>
            <w:pPr>
              <w:spacing w:after="0"/>
              <w:rPr>
                <w:sz w:val="22"/>
                <w:szCs w:val="22"/>
                <w:color w:val="auto"/>
              </w:rPr>
            </w:pPr>
          </w:p>
        </w:tc>
        <w:tc>
          <w:tcPr>
            <w:tcW w:w="31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20"/>
                <w:szCs w:val="20"/>
                <w:color w:val="auto"/>
                <w:w w:val="99"/>
              </w:rPr>
              <w:t>$16.4 billion – $16.9 billion</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6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Non-GAAP Operating Margin*</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9.2%</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 9.4%</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9.0%</w:t>
            </w:r>
          </w:p>
        </w:tc>
        <w:tc>
          <w:tcPr>
            <w:tcW w:w="19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 9.4%</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6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Non-GAAP Diluted EPS*</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$25.00</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 $25.75</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$24.50</w:t>
            </w:r>
          </w:p>
        </w:tc>
        <w:tc>
          <w:tcPr>
            <w:tcW w:w="19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 $25.75</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Excludes transaction costs related to the acquisition of Miller Electric and pending sale of EMCOR UK, as well as anticipated gain from sale of EMCOR UK.</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2025 Earnings Conference Call Information</w:t>
      </w:r>
    </w:p>
    <w:p>
      <w:pPr>
        <w:spacing w:after="0" w:line="258"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 xml:space="preserve">EMCOR Group's third quarter conference call will be broadcast live via the internet today, Thursday, October 30, at 10:30 AM Eastern Daylight Time and can be accessed through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EMCOR</w:t>
      </w:r>
    </w:p>
    <w:p>
      <w:pPr>
        <w:spacing w:after="0" w:line="258"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color w:val="auto"/>
        </w:rPr>
        <w:t xml:space="preserve">A Fortune 500 company and a member of the S&amp;P 500, EMCOR Group, Inc. is a leader in mechanical and electrical construction services, industrial and energy infrastructure, and building services. This press release and other press releases may be viewed at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auto"/>
        </w:rPr>
        <w:t xml:space="preserve">. EMCOR routinely posts information that may be important to investors on the landing page of the Company's website and in the “Investor Relations” section of the website at </w:t>
      </w:r>
      <w:r>
        <w:rPr>
          <w:rFonts w:ascii="Arial" w:cs="Arial" w:eastAsia="Arial" w:hAnsi="Arial"/>
          <w:sz w:val="20"/>
          <w:szCs w:val="20"/>
          <w:u w:val="single" w:color="auto"/>
          <w:color w:val="0000FF"/>
        </w:rPr>
        <w:t>www.emcorgroup.com/investor-relations</w:t>
      </w:r>
      <w:r>
        <w:rPr>
          <w:rFonts w:ascii="Arial" w:cs="Arial" w:eastAsia="Arial" w:hAnsi="Arial"/>
          <w:sz w:val="20"/>
          <w:szCs w:val="20"/>
          <w:color w:val="000000"/>
        </w:rPr>
        <w:t>. Investors and potential investors are encouraged to consult the EMCOR website</w:t>
      </w:r>
      <w:r>
        <w:rPr>
          <w:rFonts w:ascii="Arial" w:cs="Arial" w:eastAsia="Arial" w:hAnsi="Arial"/>
          <w:sz w:val="20"/>
          <w:szCs w:val="20"/>
          <w:color w:val="0000FF"/>
        </w:rPr>
        <w:t xml:space="preserve"> </w:t>
      </w:r>
      <w:r>
        <w:rPr>
          <w:rFonts w:ascii="Arial" w:cs="Arial" w:eastAsia="Arial" w:hAnsi="Arial"/>
          <w:sz w:val="20"/>
          <w:szCs w:val="20"/>
          <w:color w:val="000000"/>
        </w:rPr>
        <w:t>regularly for important information about EMCOR.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60"/>
          </w:cols>
          <w:pgMar w:left="320" w:top="1440" w:right="319" w:bottom="1440" w:gutter="0" w:footer="0" w:header="0"/>
        </w:sectPr>
      </w:pPr>
    </w:p>
    <w:bookmarkStart w:id="5" w:name="page6"/>
    <w:bookmarkEnd w:id="5"/>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Third Quarter 2025 Results</w:t>
      </w:r>
      <w:r>
        <w:rPr>
          <w:sz w:val="20"/>
          <w:szCs w:val="20"/>
          <w:color w:val="auto"/>
        </w:rPr>
        <w:tab/>
      </w:r>
      <w:r>
        <w:rPr>
          <w:rFonts w:ascii="Arial" w:cs="Arial" w:eastAsia="Arial" w:hAnsi="Arial"/>
          <w:sz w:val="19"/>
          <w:szCs w:val="19"/>
          <w:b w:val="1"/>
          <w:bCs w:val="1"/>
          <w:color w:val="auto"/>
        </w:rPr>
        <w:t>Page 4</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Looking Statements: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This release and related presentation contain forward-looking statements. Such statements speak only as of October 30, 2025, and EMCOR assumes no obligation to update any such forward-looking statements, unless required by law. These forward-looking statements include statements regarding anticipated future operating and financial performance; financial guidance and projections underlying that guidance; the nature and impact of our remaining performance obligations; the timing of future projects; our ability to support organic growth and balanced capital allocation, including the anticipated impact of our strategic investments; the financial and operational impact of acquisitions and/or dispositions, including the acquisition of Miller Electric Company and pending sale of EMCOR UK and the anticipated use of proceeds from such sale; our competitiveness, market opportunities, and growth prospects; customer trends; and project mix. These forward-looking statements involve risks and uncertainties that could cause actual results to differ materially from those anticipated (whether expressly or implied) by the forward-looking statements. Accordingly, these statements do not guarantee future performance or events. Applicable risks and uncertainties include, but are not limited to, adverse effects of general economic conditions; domestic and international political developments and/or conflicts; changes in the specific markets for EMCOR’s services; weakness of the sectors from which we generate revenues; adverse business conditions; scarcity of skilled labor; productivity challenges; the nature and extent of supply chain disruptions impacting availability and pricing of materials; inflationary trends, including fluctuations in energy costs; the impact of legislation and/or government regulations; adverse effects from the U.S. government shutdown; changes in foreign trade policy including the effect of tariffs; changes in interest rates; the lack of availability of adequate levels of surety bonding; increased competition; the impact of legal proceedings, claims, lawsuits, or governmental investigations; and unfavorable developments in the mix of our business. Certain of the risk factors associated with EMCOR’s business are also discussed in Part I, Item 1A “Risk Factors,” of the Company’s 2024 Form 10-K, and in other reports filed from time to time with the Securities and Exchange Commission and available at www.sec.gov and www.emcorgroup.com. Such risk factors should be taken into account in evaluating our business, including any 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Measures: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This release and related presentation also include certain financial measures that were not prepared in accordance with U.S. generally accepted accounting principles (GAAP). Reconciliations of those non-GAAP financial measures to the most directly comparable GAAP financial measures are included in this release. The Company uses these non-GAAP measures as key performance indicators for the purpose of evaluating performance internally. We also believe that these non-GAAP measures provide investors with useful information with respect to our ongoing operations. Any non-GAAP financial measures presented are not, and should not be viewed as, substitutes for financial measures required by GAAP, have no standardized meaning prescribed by GAAP, and may not be comparable to the calculation of similar measures of other companies.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In addition, forecast non-GAAP diluted earnings per share and non-GAAP operating margin for full-year 2025 are forward-looking non-GAAP financial measures. The Company does not provide a reconciliation of forward-looking non-GAAP financial measures to the most directly comparable financial measures calculated and presented in accordance with GAAP on a forward-looking basis because such reconciliations are not accessible with reasonable effort, due to the uncertainty and inherent difficulty of predicting the occurrence and financial impact of adjustments such as transaction costs or gains/losses arising from such transactions that impact comparability and the periods in which such items may be recognized.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6" w:name="page7"/>
    <w:bookmarkEnd w:id="6"/>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HIGHLIGHTS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quarters ended</w:t>
            </w:r>
          </w:p>
        </w:tc>
        <w:tc>
          <w:tcPr>
            <w:tcW w:w="280" w:type="dxa"/>
            <w:vAlign w:val="bottom"/>
          </w:tcPr>
          <w:p>
            <w:pPr>
              <w:spacing w:after="0"/>
              <w:rPr>
                <w:sz w:val="16"/>
                <w:szCs w:val="16"/>
                <w:color w:val="auto"/>
              </w:rPr>
            </w:pPr>
          </w:p>
        </w:tc>
        <w:tc>
          <w:tcPr>
            <w:tcW w:w="26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For the nine months ended</w:t>
            </w: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4,301,529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3,696,924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12,473,301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10,796,097</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3,466,216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2,962,198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10,081,499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8,788,061</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835,313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734,726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2,391,802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2,008,036</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1,252,138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1,051,737</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1,139,664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956,299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21,959</w:t>
            </w: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407,590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372,077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1,143,814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978,928</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305,604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263,944</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838,210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714,984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44,794,790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46,394,857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45,078,735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46,829,458</w:t>
            </w: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44,968,308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46,588,760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45,238,610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47,016,072</w:t>
            </w:r>
          </w:p>
        </w:tc>
      </w:tr>
      <w:tr>
        <w:trPr>
          <w:trHeight w:val="257"/>
        </w:trPr>
        <w:tc>
          <w:tcPr>
            <w:tcW w:w="5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Dividends declared per common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440" w:right="359" w:bottom="1440" w:gutter="0" w:footer="0" w:header="0"/>
        </w:sectPr>
      </w:pPr>
    </w:p>
    <w:bookmarkStart w:id="7" w:name="page8"/>
    <w:bookmarkEnd w:id="7"/>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6"/>
                <w:szCs w:val="16"/>
                <w:color w:val="auto"/>
              </w:rPr>
            </w:pPr>
          </w:p>
        </w:tc>
        <w:tc>
          <w:tcPr>
            <w:tcW w:w="14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1,339,550</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4,104,811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3,577,537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284,791</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95,667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5,457,823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5,389,189</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235,467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207,489</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316,128</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1,359,323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1,018,415</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Identifiable intangible assets, net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1,056,913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648,180</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137,072</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8,640,270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7,716,473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1,039,829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937,087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2,047,540</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Accrued payroll and benefits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885,120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751,434</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 and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336,555</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81,247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4,579,449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4,153,863</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long-term</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261,575</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obligations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362,341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5,303,757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4,777,779</w:t>
            </w: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EMCOR Group, Inc. stockholders’ equity</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3,335,398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2,937,657</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3,336,513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2,938,694</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8,640,270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7,716,473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440" w:right="379" w:bottom="1440" w:gutter="0" w:footer="0" w:header="0"/>
        </w:sectPr>
      </w:pPr>
    </w:p>
    <w:bookmarkStart w:id="8" w:name="page9"/>
    <w:bookmarkEnd w:id="8"/>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Nine Months Ended September 30, 2025 and 2024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838,210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714,984</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41,799</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identifiable intangible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86,967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56,559</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12,585</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Non-cash share-based compensation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16,170</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reconciling items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(7,893)</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operating assets and liabilities, excluding the effect of businesses acquired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104,198</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777,659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938,402</w:t>
            </w: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Cash flows -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acquisitions of businesses, net of cash acquired</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(900,496)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(189,208)</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plant,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2,765</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(57,244)</w:t>
            </w:r>
          </w:p>
        </w:tc>
      </w:tr>
      <w:tr>
        <w:trPr>
          <w:trHeight w:val="20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(977,719)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(243,687)</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revolving credit facility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revolving credit facility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Repayments of finance lease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(2,144)</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to stockholders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(31,884)</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(405,425)</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paid related to net share settlements of equity awards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Issuances of common stock under employee stock purchase plan</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contingent consideration arrangements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(455,032)</w:t>
            </w:r>
          </w:p>
        </w:tc>
      </w:tr>
      <w:tr>
        <w:trPr>
          <w:trHeight w:val="20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7,377</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247,060</w:t>
            </w:r>
          </w:p>
        </w:tc>
      </w:tr>
      <w:tr>
        <w:trPr>
          <w:trHeight w:val="216"/>
        </w:trPr>
        <w:tc>
          <w:tcPr>
            <w:tcW w:w="8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 xml:space="preserve">Cash, cash equivalents, and restricted cash at beginning of year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1,340,395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789,750</w:t>
            </w:r>
          </w:p>
        </w:tc>
      </w:tr>
      <w:tr>
        <w:trPr>
          <w:trHeight w:val="235"/>
        </w:trPr>
        <w:tc>
          <w:tcPr>
            <w:tcW w:w="80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 xml:space="preserve">Cash, cash equivalents, and restricted cash at end of period </w:t>
            </w:r>
            <w:r>
              <w:rPr>
                <w:rFonts w:ascii="Arial" w:cs="Arial" w:eastAsia="Arial" w:hAnsi="Arial"/>
                <w:sz w:val="21"/>
                <w:szCs w:val="21"/>
                <w:b w:val="1"/>
                <w:bCs w:val="1"/>
                <w:color w:val="auto"/>
                <w:vertAlign w:val="superscript"/>
              </w:rPr>
              <w:t>(2)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656,317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1,036,810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9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$0.8 million of restricted cash classified as “Prepaid expenses and other” in the Consolidated Balance Sheet as of December 31, 2024.</w:t>
      </w:r>
    </w:p>
    <w:p>
      <w:pPr>
        <w:spacing w:after="0" w:line="59" w:lineRule="exact"/>
        <w:rPr>
          <w:rFonts w:ascii="Arial" w:cs="Arial" w:eastAsia="Arial" w:hAnsi="Arial"/>
          <w:sz w:val="16"/>
          <w:szCs w:val="16"/>
          <w:color w:val="auto"/>
        </w:rPr>
      </w:pPr>
    </w:p>
    <w:p>
      <w:pPr>
        <w:ind w:left="420" w:hanging="412"/>
        <w:spacing w:after="0" w:line="286" w:lineRule="auto"/>
        <w:tabs>
          <w:tab w:leader="none" w:pos="41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$1.2 million of restricted cash classified as "Assets held for sale" in the Consolidated Balance Sheet as of September 30, 2025 and $1.3 million of restricted cash classified as “Prepaid expenses and other” in the Consolidated Balance Sheet as of September 30, 2024.</w:t>
      </w:r>
    </w:p>
    <w:p>
      <w:pPr>
        <w:sectPr>
          <w:pgSz w:w="11900" w:h="16838" w:orient="portrait"/>
          <w:cols w:equalWidth="0" w:num="1">
            <w:col w:w="11240"/>
          </w:cols>
          <w:pgMar w:left="320" w:top="1440" w:right="339" w:bottom="1440" w:gutter="0" w:footer="0" w:header="0"/>
        </w:sectPr>
      </w:pPr>
    </w:p>
    <w:bookmarkStart w:id="9" w:name="page10"/>
    <w:bookmarkEnd w:id="9"/>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ind w:left="900"/>
              <w:spacing w:after="0"/>
              <w:rPr>
                <w:sz w:val="20"/>
                <w:szCs w:val="20"/>
                <w:color w:val="auto"/>
              </w:rPr>
            </w:pPr>
            <w:r>
              <w:rPr>
                <w:rFonts w:ascii="Arial" w:cs="Arial" w:eastAsia="Arial" w:hAnsi="Arial"/>
                <w:sz w:val="16"/>
                <w:szCs w:val="16"/>
                <w:b w:val="1"/>
                <w:bCs w:val="1"/>
                <w:color w:val="auto"/>
              </w:rPr>
              <w:t>For the quarters ended September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3"/>
                <w:szCs w:val="13"/>
                <w:color w:val="auto"/>
              </w:rPr>
            </w:pPr>
          </w:p>
        </w:tc>
        <w:tc>
          <w:tcPr>
            <w:tcW w:w="1280" w:type="dxa"/>
            <w:vAlign w:val="bottom"/>
            <w:gridSpan w:val="2"/>
          </w:tcPr>
          <w:p>
            <w:pPr>
              <w:ind w:left="400"/>
              <w:spacing w:after="0" w:line="155" w:lineRule="exact"/>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1,285,269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845,030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1,779,279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1,662,211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286,914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286,410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4,165,341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3,590,574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136,188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4,301,529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3,696,924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8"/>
          </w:tcPr>
          <w:p>
            <w:pPr>
              <w:ind w:left="760"/>
              <w:spacing w:after="0"/>
              <w:rPr>
                <w:sz w:val="20"/>
                <w:szCs w:val="20"/>
                <w:color w:val="auto"/>
              </w:rPr>
            </w:pPr>
            <w:r>
              <w:rPr>
                <w:rFonts w:ascii="Arial" w:cs="Arial" w:eastAsia="Arial" w:hAnsi="Arial"/>
                <w:sz w:val="16"/>
                <w:szCs w:val="16"/>
                <w:b w:val="1"/>
                <w:bCs w:val="1"/>
                <w:color w:val="auto"/>
              </w:rPr>
              <w:t>For the nine months ended September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3"/>
                <w:szCs w:val="13"/>
                <w:color w:val="auto"/>
              </w:rPr>
            </w:pPr>
          </w:p>
        </w:tc>
        <w:tc>
          <w:tcPr>
            <w:tcW w:w="1280" w:type="dxa"/>
            <w:vAlign w:val="bottom"/>
            <w:gridSpan w:val="2"/>
          </w:tcPr>
          <w:p>
            <w:pPr>
              <w:ind w:left="400"/>
              <w:spacing w:after="0" w:line="155" w:lineRule="exact"/>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3"/>
                <w:szCs w:val="13"/>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3,713,360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2,409,735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5,107,139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4,745,057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2,349,761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926,988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964,510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12,097,248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10,478,493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376,053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12,473,301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10,796,097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8"/>
          </w:tcPr>
          <w:p>
            <w:pPr>
              <w:ind w:left="900"/>
              <w:spacing w:after="0"/>
              <w:rPr>
                <w:sz w:val="20"/>
                <w:szCs w:val="20"/>
                <w:color w:val="auto"/>
              </w:rPr>
            </w:pPr>
            <w:r>
              <w:rPr>
                <w:rFonts w:ascii="Arial" w:cs="Arial" w:eastAsia="Arial" w:hAnsi="Arial"/>
                <w:sz w:val="16"/>
                <w:szCs w:val="16"/>
                <w:b w:val="1"/>
                <w:bCs w:val="1"/>
                <w:color w:val="auto"/>
              </w:rPr>
              <w:t>For the quarters ended September 30,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rPr>
              <w:t>% of Segment</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229,296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214,831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440,178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7,563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Consolidated 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405,696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363,538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407,590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8"/>
          </w:tcPr>
          <w:p>
            <w:pPr>
              <w:jc w:val="right"/>
              <w:ind w:right="959"/>
              <w:spacing w:after="0"/>
              <w:rPr>
                <w:sz w:val="20"/>
                <w:szCs w:val="20"/>
                <w:color w:val="auto"/>
              </w:rPr>
            </w:pPr>
            <w:r>
              <w:rPr>
                <w:rFonts w:ascii="Arial" w:cs="Arial" w:eastAsia="Arial" w:hAnsi="Arial"/>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2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rPr>
              <w:t>% of Segment</w:t>
            </w: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654,780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578,991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1,252,172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20,975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16,651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(108,491)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Consolidated operating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1,139,664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956,299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1,143,814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978,928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ORGANIC REVENUE GROWTH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percentages) (Unaudited)</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a reconciliation between organic revenue growth, a non-GAAP measure, and total revenue growth for the quarter and nine months ended September 30, 2025.</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ind w:left="280"/>
              <w:spacing w:after="0"/>
              <w:rPr>
                <w:sz w:val="20"/>
                <w:szCs w:val="20"/>
                <w:color w:val="auto"/>
              </w:rPr>
            </w:pPr>
            <w:r>
              <w:rPr>
                <w:rFonts w:ascii="Arial" w:cs="Arial" w:eastAsia="Arial" w:hAnsi="Arial"/>
                <w:sz w:val="16"/>
                <w:szCs w:val="16"/>
                <w:b w:val="1"/>
                <w:bCs w:val="1"/>
                <w:color w:val="auto"/>
              </w:rPr>
              <w:t>For the quarter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For the nine months ended</w:t>
            </w:r>
          </w:p>
        </w:tc>
      </w:tr>
      <w:tr>
        <w:trPr>
          <w:trHeight w:val="216"/>
        </w:trPr>
        <w:tc>
          <w:tcPr>
            <w:tcW w:w="5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September 30, 2025</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September 30, 2025</w:t>
            </w:r>
          </w:p>
        </w:tc>
      </w:tr>
      <w:tr>
        <w:trPr>
          <w:trHeight w:val="210"/>
        </w:trPr>
        <w:tc>
          <w:tcPr>
            <w:tcW w:w="5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revenue growth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604,605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1,677,204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Incremental revenues from acquisitions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(306,595)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(887,825)</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Organic revenue growth, a non-GAAP measure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298,010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789,379</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OTHER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and per share data) (Unaudited)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press release, we provide non-GAAP operating income, non-GAAP operating margin, non-GAAP net income, and non-GAAP diluted earnings per common share for the nine months ended September 30, 2025. The following tables provide a reconciliation between these amounts determined on a non-GAAP basis and the most directly comparable GAAP measures.</w:t>
      </w:r>
    </w:p>
    <w:p>
      <w:pPr>
        <w:spacing w:after="0" w:line="75"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nine months ended</w:t>
      </w:r>
    </w:p>
    <w:p>
      <w:pPr>
        <w:jc w:val="center"/>
        <w:ind w:left="842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956,299</w:t>
            </w:r>
          </w:p>
        </w:tc>
      </w:tr>
      <w:tr>
        <w:trPr>
          <w:trHeight w:val="21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income, excluding Miller Electric transaction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1,149,017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956,299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For the nine months ended</w:t>
      </w:r>
    </w:p>
    <w:p>
      <w:pPr>
        <w:jc w:val="center"/>
        <w:ind w:left="82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Non-GAAP operating margin, excluding Miller Electric transaction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nine months ended</w:t>
      </w:r>
    </w:p>
    <w:p>
      <w:pPr>
        <w:jc w:val="center"/>
        <w:ind w:left="842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838,210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714,984</w:t>
            </w:r>
          </w:p>
        </w:tc>
      </w:tr>
      <w:tr>
        <w:trPr>
          <w:trHeight w:val="215"/>
        </w:trPr>
        <w:tc>
          <w:tcPr>
            <w:tcW w:w="8420" w:type="dxa"/>
            <w:vAlign w:val="bottom"/>
          </w:tcPr>
          <w:p>
            <w:pPr>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transaction expenses related to the acquisition of Miller Electric</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20" w:type="dxa"/>
            <w:vAlign w:val="bottom"/>
          </w:tcPr>
          <w:p>
            <w:pPr>
              <w:spacing w:after="0"/>
              <w:rPr>
                <w:sz w:val="20"/>
                <w:szCs w:val="20"/>
                <w:color w:val="auto"/>
              </w:rPr>
            </w:pPr>
            <w:r>
              <w:rPr>
                <w:rFonts w:ascii="Arial" w:cs="Arial" w:eastAsia="Arial" w:hAnsi="Arial"/>
                <w:sz w:val="16"/>
                <w:szCs w:val="16"/>
                <w:color w:val="auto"/>
              </w:rPr>
              <w:t>Non-GAAP net income, excluding Miller Electric transaction expenses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845,153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714,984</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nine months ended</w:t>
      </w:r>
    </w:p>
    <w:p>
      <w:pPr>
        <w:jc w:val="center"/>
        <w:ind w:left="842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per common share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r>
      <w:tr>
        <w:trPr>
          <w:trHeight w:val="215"/>
        </w:trPr>
        <w:tc>
          <w:tcPr>
            <w:tcW w:w="8420" w:type="dxa"/>
            <w:vAlign w:val="bottom"/>
          </w:tcPr>
          <w:p>
            <w:pPr>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transaction expenses related to the acquisition of Miller Electric</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20" w:type="dxa"/>
            <w:vAlign w:val="bottom"/>
          </w:tcPr>
          <w:p>
            <w:pPr>
              <w:spacing w:after="0"/>
              <w:rPr>
                <w:sz w:val="20"/>
                <w:szCs w:val="20"/>
                <w:color w:val="auto"/>
              </w:rPr>
            </w:pPr>
            <w:r>
              <w:rPr>
                <w:rFonts w:ascii="Arial" w:cs="Arial" w:eastAsia="Arial" w:hAnsi="Arial"/>
                <w:sz w:val="16"/>
                <w:szCs w:val="16"/>
                <w:color w:val="auto"/>
              </w:rPr>
              <w:t>Non-GAAP diluted earnings per common share, excluding Miller Electric transaction expenses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18.68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w:t>
            </w:r>
          </w:p>
        </w:tc>
      </w:tr>
      <w:tr>
        <w:trPr>
          <w:trHeight w:val="20"/>
        </w:trPr>
        <w:tc>
          <w:tcPr>
            <w:tcW w:w="8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2025-10-30T07:51:41Z</dcterms:created>
  <dcterms:modified xsi:type="dcterms:W3CDTF">2025-10-30T07:51:41Z</dcterms:modified>
</cp:coreProperties>
</file>