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33020</wp:posOffset>
            </wp:positionV>
            <wp:extent cx="1080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-172085</wp:posOffset>
            </wp:positionV>
            <wp:extent cx="1080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29, 2026</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EMCOR Group,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5"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gridSpan w:val="3"/>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1-8267</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11-2125338</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40" w:type="dxa"/>
            <w:vAlign w:val="bottom"/>
          </w:tcPr>
          <w:p>
            <w:pPr>
              <w:spacing w:after="0"/>
              <w:rPr>
                <w:sz w:val="19"/>
                <w:szCs w:val="19"/>
                <w:color w:val="auto"/>
              </w:rPr>
            </w:pPr>
          </w:p>
        </w:tc>
        <w:tc>
          <w:tcPr>
            <w:tcW w:w="3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32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6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301 Merritt Seven</w:t>
            </w: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Norwalk, Connecticut</w:t>
            </w:r>
          </w:p>
        </w:tc>
        <w:tc>
          <w:tcPr>
            <w:tcW w:w="1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06851-1092</w:t>
            </w: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20" w:type="dxa"/>
            <w:vAlign w:val="bottom"/>
            <w:gridSpan w:val="4"/>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35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52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 849-7800</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3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EME</w:t>
            </w:r>
          </w:p>
        </w:tc>
        <w:tc>
          <w:tcPr>
            <w:tcW w:w="100" w:type="dxa"/>
            <w:vAlign w:val="bottom"/>
          </w:tcPr>
          <w:p>
            <w:pPr>
              <w:spacing w:after="0"/>
              <w:rPr>
                <w:sz w:val="18"/>
                <w:szCs w:val="18"/>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33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6"/>
        </w:trPr>
        <w:tc>
          <w:tcPr>
            <w:tcW w:w="22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2044700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29, 2026, EMCOR Group, Inc. issued a press release disclosing results of operations for its fiscal 2026 first quarter ended March 31, 2026. A copy of such press release is furnished as Exhibit 99.1 to this Current Report on Form 8-K.</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shall not be deemed to be “filed” for the purposes of Section 18 of the Securities Exchange Act of 1934 (the “Exchange Act”) or otherwise subject to the liabilities of that Section, nor shall it be incorporated by reference into a filing under the Securities Act of 1933, or the Exchange Act, except as shall be expressly set forth by specific reference in such a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8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0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Press Release issued by EMCOR Group, Inc. on April 29, 2026 disclosing results of operations for its fiscal 2026 first quarter</w:t>
            </w:r>
          </w:p>
        </w:tc>
      </w:tr>
      <w:tr>
        <w:trPr>
          <w:trHeight w:val="155"/>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ended March 31, 2026.</w:t>
            </w:r>
          </w:p>
        </w:tc>
        <w:tc>
          <w:tcPr>
            <w:tcW w:w="140" w:type="dxa"/>
            <w:vAlign w:val="bottom"/>
          </w:tcPr>
          <w:p>
            <w:pPr>
              <w:spacing w:after="0"/>
              <w:rPr>
                <w:sz w:val="13"/>
                <w:szCs w:val="13"/>
                <w:color w:val="auto"/>
              </w:rPr>
            </w:pPr>
          </w:p>
        </w:tc>
      </w:tr>
      <w:tr>
        <w:trPr>
          <w:trHeight w:val="20"/>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r>
      <w:tr>
        <w:trPr>
          <w:trHeight w:val="26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EMCOR Group, Inc.</w:t>
      </w:r>
    </w:p>
    <w:p>
      <w:pPr>
        <w:sectPr>
          <w:pgSz w:w="11900" w:h="16838" w:orient="portrait"/>
          <w:cols w:equalWidth="0" w:num="1">
            <w:col w:w="11240"/>
          </w:cols>
          <w:pgMar w:left="320" w:top="1319"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April 29, 2026</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17145</wp:posOffset>
            </wp:positionV>
            <wp:extent cx="1834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3">
            <w:col w:w="4680" w:space="720"/>
            <w:col w:w="420" w:space="720"/>
            <w:col w:w="4700"/>
          </w:cols>
          <w:pgMar w:left="320" w:top="1319" w:right="339" w:bottom="1440" w:gutter="0" w:footer="0" w:header="0"/>
          <w:type w:val="continuous"/>
        </w:sectPr>
      </w:pPr>
    </w:p>
    <w:p>
      <w:pPr>
        <w:jc w:val="center"/>
        <w:ind w:left="3680"/>
        <w:spacing w:after="0"/>
        <w:rPr>
          <w:sz w:val="20"/>
          <w:szCs w:val="20"/>
          <w:color w:val="auto"/>
        </w:rPr>
      </w:pPr>
      <w:r>
        <w:rPr>
          <w:rFonts w:ascii="Times New Roman" w:cs="Times New Roman" w:eastAsia="Times New Roman" w:hAnsi="Times New Roman"/>
          <w:sz w:val="18"/>
          <w:szCs w:val="18"/>
          <w:color w:val="auto"/>
        </w:rPr>
        <w:t>Anthony J. Guzzi</w:t>
      </w:r>
    </w:p>
    <w:p>
      <w:pPr>
        <w:spacing w:after="0" w:line="27"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7"/>
          <w:szCs w:val="17"/>
          <w:color w:val="auto"/>
        </w:rPr>
        <w:t>Chairman, President, and</w:t>
      </w:r>
    </w:p>
    <w:p>
      <w:pPr>
        <w:spacing w:after="0" w:line="34"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319" w:right="339" w:bottom="1440" w:gutter="0" w:footer="0" w:header="0"/>
          <w:type w:val="continuous"/>
        </w:sectPr>
      </w:pPr>
    </w:p>
    <w:bookmarkStart w:id="2" w:name="page3"/>
    <w:bookmarkEnd w:id="2"/>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ind w:left="9980"/>
        <w:spacing w:after="0"/>
        <w:rPr>
          <w:sz w:val="20"/>
          <w:szCs w:val="20"/>
          <w:color w:val="auto"/>
        </w:rPr>
      </w:pPr>
      <w:r>
        <w:rPr>
          <w:rFonts w:ascii="Arial" w:cs="Arial" w:eastAsia="Arial" w:hAnsi="Arial"/>
          <w:sz w:val="20"/>
          <w:szCs w:val="20"/>
          <w:b w:val="1"/>
          <w:bCs w:val="1"/>
          <w:color w:val="auto"/>
        </w:rPr>
        <w:t>EXHIBIT 99.1</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6700" w:type="dxa"/>
            <w:vAlign w:val="bottom"/>
          </w:tcPr>
          <w:p>
            <w:pPr>
              <w:jc w:val="right"/>
              <w:ind w:right="164"/>
              <w:spacing w:after="0"/>
              <w:rPr>
                <w:sz w:val="20"/>
                <w:szCs w:val="20"/>
                <w:color w:val="auto"/>
              </w:rPr>
            </w:pPr>
            <w:r>
              <w:rPr>
                <w:rFonts w:ascii="Arial" w:cs="Arial" w:eastAsia="Arial" w:hAnsi="Arial"/>
                <w:sz w:val="18"/>
                <w:szCs w:val="18"/>
                <w:color w:val="auto"/>
              </w:rPr>
              <w:t>FOR:</w:t>
            </w:r>
          </w:p>
        </w:tc>
        <w:tc>
          <w:tcPr>
            <w:tcW w:w="2640" w:type="dxa"/>
            <w:vAlign w:val="bottom"/>
          </w:tcPr>
          <w:p>
            <w:pPr>
              <w:ind w:left="280"/>
              <w:spacing w:after="0"/>
              <w:rPr>
                <w:sz w:val="20"/>
                <w:szCs w:val="20"/>
                <w:color w:val="auto"/>
              </w:rPr>
            </w:pPr>
            <w:r>
              <w:rPr>
                <w:rFonts w:ascii="Arial" w:cs="Arial" w:eastAsia="Arial" w:hAnsi="Arial"/>
                <w:sz w:val="18"/>
                <w:szCs w:val="18"/>
                <w:color w:val="auto"/>
              </w:rPr>
              <w:t>EMCOR GROUP, INC.</w:t>
            </w:r>
          </w:p>
        </w:tc>
      </w:tr>
      <w:tr>
        <w:trPr>
          <w:trHeight w:val="280"/>
        </w:trPr>
        <w:tc>
          <w:tcPr>
            <w:tcW w:w="6700" w:type="dxa"/>
            <w:vAlign w:val="bottom"/>
          </w:tcPr>
          <w:p>
            <w:pPr>
              <w:jc w:val="right"/>
              <w:ind w:right="5164"/>
              <w:spacing w:after="0"/>
              <w:rPr>
                <w:sz w:val="20"/>
                <w:szCs w:val="20"/>
                <w:color w:val="auto"/>
              </w:rPr>
            </w:pPr>
            <w:r>
              <w:rPr>
                <w:rFonts w:ascii="Arial" w:cs="Arial" w:eastAsia="Arial" w:hAnsi="Arial"/>
                <w:sz w:val="22"/>
                <w:szCs w:val="22"/>
                <w:b w:val="1"/>
                <w:bCs w:val="1"/>
                <w:color w:val="auto"/>
                <w:w w:val="96"/>
              </w:rPr>
              <w:t>News Release</w:t>
            </w:r>
          </w:p>
        </w:tc>
        <w:tc>
          <w:tcPr>
            <w:tcW w:w="2640" w:type="dxa"/>
            <w:vAlign w:val="bottom"/>
          </w:tcPr>
          <w:p>
            <w:pPr>
              <w:spacing w:after="0"/>
              <w:rPr>
                <w:sz w:val="24"/>
                <w:szCs w:val="24"/>
                <w:color w:val="auto"/>
              </w:rPr>
            </w:pPr>
          </w:p>
        </w:tc>
      </w:tr>
      <w:tr>
        <w:trPr>
          <w:trHeight w:val="181"/>
        </w:trPr>
        <w:tc>
          <w:tcPr>
            <w:tcW w:w="6700" w:type="dxa"/>
            <w:vAlign w:val="bottom"/>
          </w:tcPr>
          <w:p>
            <w:pPr>
              <w:jc w:val="right"/>
              <w:ind w:right="164"/>
              <w:spacing w:after="0" w:line="181" w:lineRule="exact"/>
              <w:rPr>
                <w:sz w:val="20"/>
                <w:szCs w:val="20"/>
                <w:color w:val="auto"/>
              </w:rPr>
            </w:pPr>
            <w:r>
              <w:rPr>
                <w:rFonts w:ascii="Arial" w:cs="Arial" w:eastAsia="Arial" w:hAnsi="Arial"/>
                <w:sz w:val="18"/>
                <w:szCs w:val="18"/>
                <w:color w:val="auto"/>
              </w:rPr>
              <w:t>CONTACT:</w:t>
            </w:r>
          </w:p>
        </w:tc>
        <w:tc>
          <w:tcPr>
            <w:tcW w:w="2640" w:type="dxa"/>
            <w:vAlign w:val="bottom"/>
          </w:tcPr>
          <w:p>
            <w:pPr>
              <w:ind w:left="280"/>
              <w:spacing w:after="0" w:line="181" w:lineRule="exact"/>
              <w:rPr>
                <w:sz w:val="20"/>
                <w:szCs w:val="20"/>
                <w:color w:val="auto"/>
              </w:rPr>
            </w:pPr>
            <w:r>
              <w:rPr>
                <w:rFonts w:ascii="Arial" w:cs="Arial" w:eastAsia="Arial" w:hAnsi="Arial"/>
                <w:sz w:val="18"/>
                <w:szCs w:val="18"/>
                <w:color w:val="auto"/>
              </w:rPr>
              <w:t>Lucas Sullivan</w:t>
            </w:r>
          </w:p>
        </w:tc>
      </w:tr>
      <w:tr>
        <w:trPr>
          <w:trHeight w:val="175"/>
        </w:trPr>
        <w:tc>
          <w:tcPr>
            <w:tcW w:w="6700" w:type="dxa"/>
            <w:vAlign w:val="bottom"/>
          </w:tcPr>
          <w:p>
            <w:pPr>
              <w:spacing w:after="0"/>
              <w:rPr>
                <w:sz w:val="15"/>
                <w:szCs w:val="15"/>
                <w:color w:val="auto"/>
              </w:rPr>
            </w:pPr>
          </w:p>
        </w:tc>
        <w:tc>
          <w:tcPr>
            <w:tcW w:w="2640" w:type="dxa"/>
            <w:vAlign w:val="bottom"/>
          </w:tcPr>
          <w:p>
            <w:pPr>
              <w:ind w:left="280"/>
              <w:spacing w:after="0" w:line="176" w:lineRule="exact"/>
              <w:rPr>
                <w:sz w:val="20"/>
                <w:szCs w:val="20"/>
                <w:color w:val="auto"/>
              </w:rPr>
            </w:pPr>
            <w:r>
              <w:rPr>
                <w:rFonts w:ascii="Arial" w:cs="Arial" w:eastAsia="Arial" w:hAnsi="Arial"/>
                <w:sz w:val="18"/>
                <w:szCs w:val="18"/>
                <w:color w:val="auto"/>
              </w:rPr>
              <w:t>Director</w:t>
            </w:r>
          </w:p>
        </w:tc>
      </w:tr>
      <w:tr>
        <w:trPr>
          <w:trHeight w:val="184"/>
        </w:trPr>
        <w:tc>
          <w:tcPr>
            <w:tcW w:w="6700" w:type="dxa"/>
            <w:vAlign w:val="bottom"/>
          </w:tcPr>
          <w:p>
            <w:pPr>
              <w:spacing w:after="0"/>
              <w:rPr>
                <w:sz w:val="15"/>
                <w:szCs w:val="15"/>
                <w:color w:val="auto"/>
              </w:rPr>
            </w:pPr>
          </w:p>
        </w:tc>
        <w:tc>
          <w:tcPr>
            <w:tcW w:w="2640" w:type="dxa"/>
            <w:vAlign w:val="bottom"/>
          </w:tcPr>
          <w:p>
            <w:pPr>
              <w:ind w:left="280"/>
              <w:spacing w:after="0" w:line="183" w:lineRule="exact"/>
              <w:rPr>
                <w:sz w:val="20"/>
                <w:szCs w:val="20"/>
                <w:color w:val="auto"/>
              </w:rPr>
            </w:pPr>
            <w:r>
              <w:rPr>
                <w:rFonts w:ascii="Arial" w:cs="Arial" w:eastAsia="Arial" w:hAnsi="Arial"/>
                <w:sz w:val="18"/>
                <w:szCs w:val="18"/>
                <w:color w:val="auto"/>
                <w:w w:val="99"/>
              </w:rPr>
              <w:t>Financial Planning &amp; Analysis</w:t>
            </w:r>
          </w:p>
        </w:tc>
      </w:tr>
      <w:tr>
        <w:trPr>
          <w:trHeight w:val="239"/>
        </w:trPr>
        <w:tc>
          <w:tcPr>
            <w:tcW w:w="670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(203) 849-7938</w:t>
            </w:r>
          </w:p>
        </w:tc>
      </w:tr>
      <w:tr>
        <w:trPr>
          <w:trHeight w:val="644"/>
        </w:trPr>
        <w:tc>
          <w:tcPr>
            <w:tcW w:w="6700" w:type="dxa"/>
            <w:vAlign w:val="bottom"/>
          </w:tcPr>
          <w:p>
            <w:pPr>
              <w:spacing w:after="0"/>
              <w:rPr>
                <w:sz w:val="24"/>
                <w:szCs w:val="24"/>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FTI Consulting, Inc.</w:t>
            </w:r>
          </w:p>
        </w:tc>
      </w:tr>
      <w:tr>
        <w:trPr>
          <w:trHeight w:val="175"/>
        </w:trPr>
        <w:tc>
          <w:tcPr>
            <w:tcW w:w="6700" w:type="dxa"/>
            <w:vAlign w:val="bottom"/>
          </w:tcPr>
          <w:p>
            <w:pPr>
              <w:spacing w:after="0"/>
              <w:rPr>
                <w:sz w:val="15"/>
                <w:szCs w:val="15"/>
                <w:color w:val="auto"/>
              </w:rPr>
            </w:pPr>
          </w:p>
        </w:tc>
        <w:tc>
          <w:tcPr>
            <w:tcW w:w="2640" w:type="dxa"/>
            <w:vAlign w:val="bottom"/>
          </w:tcPr>
          <w:p>
            <w:pPr>
              <w:ind w:left="280"/>
              <w:spacing w:after="0" w:line="176" w:lineRule="exact"/>
              <w:rPr>
                <w:sz w:val="20"/>
                <w:szCs w:val="20"/>
                <w:color w:val="auto"/>
              </w:rPr>
            </w:pPr>
            <w:r>
              <w:rPr>
                <w:rFonts w:ascii="Arial" w:cs="Arial" w:eastAsia="Arial" w:hAnsi="Arial"/>
                <w:sz w:val="18"/>
                <w:szCs w:val="18"/>
                <w:color w:val="auto"/>
              </w:rPr>
              <w:t>Investors: Blake Mueller</w:t>
            </w:r>
          </w:p>
        </w:tc>
      </w:tr>
      <w:tr>
        <w:trPr>
          <w:trHeight w:val="239"/>
        </w:trPr>
        <w:tc>
          <w:tcPr>
            <w:tcW w:w="670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(718) 578-3706</w:t>
            </w: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EMCOR GROUP, INC. REPORTS FIRST QUARTER 2026 RESULTS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Record Quarterly Revenues of $4.63 billion, 19.7% Increase Year-over-Year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First Quarter Diluted EPS of $6.84, 30.0% Increase Year-over-Year</w:t>
      </w:r>
    </w:p>
    <w:p>
      <w:pPr>
        <w:spacing w:after="0" w:line="50" w:lineRule="exact"/>
        <w:rPr>
          <w:sz w:val="20"/>
          <w:szCs w:val="20"/>
          <w:color w:val="auto"/>
        </w:rPr>
      </w:pPr>
    </w:p>
    <w:p>
      <w:pPr>
        <w:ind w:left="920" w:right="1160" w:firstLine="758"/>
        <w:spacing w:after="0" w:line="314" w:lineRule="auto"/>
        <w:rPr>
          <w:sz w:val="20"/>
          <w:szCs w:val="20"/>
          <w:color w:val="auto"/>
        </w:rPr>
      </w:pPr>
      <w:r>
        <w:rPr>
          <w:rFonts w:ascii="Arial" w:cs="Arial" w:eastAsia="Arial" w:hAnsi="Arial"/>
          <w:sz w:val="17"/>
          <w:szCs w:val="17"/>
          <w:b w:val="1"/>
          <w:bCs w:val="1"/>
          <w:i w:val="1"/>
          <w:iCs w:val="1"/>
          <w:color w:val="auto"/>
        </w:rPr>
        <w:t>Record Remaining Performance Obligations of $15.62 billion, 32.9% Increase Year-over-Year Increases 2026 Revenue Guidance Range to $18.50 billion - $19.25 billion from $17.75 billion - $18.50 billion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Increases 2026 Diluted EPS Guidance Range to $28.25 - $29.75 from $27.25 - $29.25</w:t>
      </w:r>
    </w:p>
    <w:p>
      <w:pPr>
        <w:spacing w:after="0" w:line="200" w:lineRule="exact"/>
        <w:rPr>
          <w:sz w:val="20"/>
          <w:szCs w:val="20"/>
          <w:color w:val="auto"/>
        </w:rPr>
      </w:pPr>
    </w:p>
    <w:p>
      <w:pPr>
        <w:spacing w:after="0" w:line="26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NORWALK, CONNECTICUT, April 29, 2026 - EMCOR Group, Inc. (NYSE: EME) today reported results for the first quarter ended March 31, 2026.</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2026 Results of Operations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For the first quarter of 2026, </w:t>
      </w:r>
      <w:r>
        <w:rPr>
          <w:rFonts w:ascii="Arial" w:cs="Arial" w:eastAsia="Arial" w:hAnsi="Arial"/>
          <w:sz w:val="20"/>
          <w:szCs w:val="20"/>
          <w:b w:val="1"/>
          <w:bCs w:val="1"/>
          <w:color w:val="auto"/>
        </w:rPr>
        <w:t>revenues</w:t>
      </w:r>
      <w:r>
        <w:rPr>
          <w:rFonts w:ascii="Arial" w:cs="Arial" w:eastAsia="Arial" w:hAnsi="Arial"/>
          <w:sz w:val="20"/>
          <w:szCs w:val="20"/>
          <w:color w:val="auto"/>
        </w:rPr>
        <w:t xml:space="preserve"> totaled a quarterly record of $4.63 billion, an increase of 19.7%, compared to $3.87 billion for the first quarter of 2025. On an organic basis, when adjusting for incremental acquisition contribution and the impact of the sale of the Company's United Kingdom operations, first quarter revenues increased by 16.8%.</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Net income </w:t>
      </w:r>
      <w:r>
        <w:rPr>
          <w:rFonts w:ascii="Arial" w:cs="Arial" w:eastAsia="Arial" w:hAnsi="Arial"/>
          <w:sz w:val="20"/>
          <w:szCs w:val="20"/>
          <w:color w:val="auto"/>
        </w:rPr>
        <w:t>for the first quarter of 2026 was $305.5 million, or $ 6.84 per diluted share, compared to net income of $240.7</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or $ 5.26 per diluted share, for the first quarter of 2025. Net income for the first quarter of 2025 included $9.4 million, or $6.9 million after taxes, of transaction related costs associated with the acquisition of Miller Electric Company. Excluding these transaction costs, non-GAAP net income for the first quarter of 2025 was $247.6 million, or $5.41 per diluted share.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Operating income </w:t>
      </w:r>
      <w:r>
        <w:rPr>
          <w:rFonts w:ascii="Arial" w:cs="Arial" w:eastAsia="Arial" w:hAnsi="Arial"/>
          <w:sz w:val="20"/>
          <w:szCs w:val="20"/>
          <w:color w:val="auto"/>
        </w:rPr>
        <w:t>for the first quarter of 2026 was $403.8 million, or 8.7% of revenues, compared to operating income of</w:t>
      </w:r>
      <w:r>
        <w:rPr>
          <w:rFonts w:ascii="Arial" w:cs="Arial" w:eastAsia="Arial" w:hAnsi="Arial"/>
          <w:sz w:val="20"/>
          <w:szCs w:val="20"/>
          <w:b w:val="1"/>
          <w:bCs w:val="1"/>
          <w:color w:val="auto"/>
        </w:rPr>
        <w:t xml:space="preserve"> </w:t>
      </w:r>
      <w:r>
        <w:rPr>
          <w:rFonts w:ascii="Arial" w:cs="Arial" w:eastAsia="Arial" w:hAnsi="Arial"/>
          <w:sz w:val="20"/>
          <w:szCs w:val="20"/>
          <w:color w:val="auto"/>
        </w:rPr>
        <w:t>$318.8 million, or 8.2% of revenues, for the first quarter of 2025. Excluding the previously referenced transaction costs, non-GAAP operating income for the first quarter of 2025 was $328.1 million, or 8.5% of revenues. Operating income included depreciation and amortization expense (inclusive of amortization of identifiable intangible assets) of $52.6 million and $41.9 million for the first quarter of 2026 and 2025, respectively.</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Refer to the attached tables for a reconciliation of non-GAAP revenue growth, non-GAAP operating income, non-GAAP operating margin, non-GAAP net income, and non-GAAP diluted earnings per share to the comparable GAAP measures.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440" w:right="339" w:bottom="1440" w:gutter="0" w:footer="0" w:header="0"/>
        </w:sectPr>
      </w:pPr>
    </w:p>
    <w:bookmarkStart w:id="3" w:name="page4"/>
    <w:bookmarkEnd w:id="3"/>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60400"/>
                    </a:xfrm>
                    <a:prstGeom prst="rect">
                      <a:avLst/>
                    </a:prstGeom>
                    <a:noFill/>
                  </pic:spPr>
                </pic:pic>
              </a:graphicData>
            </a:graphic>
          </wp:anchor>
        </w:drawing>
      </w:r>
    </w:p>
    <w:p>
      <w:pPr>
        <w:ind w:left="80"/>
        <w:spacing w:after="0"/>
        <w:tabs>
          <w:tab w:leader="none" w:pos="10560" w:val="left"/>
        </w:tabs>
        <w:rPr>
          <w:sz w:val="20"/>
          <w:szCs w:val="20"/>
          <w:color w:val="auto"/>
        </w:rPr>
      </w:pPr>
      <w:r>
        <w:rPr>
          <w:rFonts w:ascii="Arial" w:cs="Arial" w:eastAsia="Arial" w:hAnsi="Arial"/>
          <w:sz w:val="20"/>
          <w:szCs w:val="20"/>
          <w:b w:val="1"/>
          <w:bCs w:val="1"/>
          <w:color w:val="auto"/>
        </w:rPr>
        <w:t>EMCOR Reports First Quarter 2026 Results</w:t>
      </w:r>
      <w:r>
        <w:rPr>
          <w:sz w:val="20"/>
          <w:szCs w:val="20"/>
          <w:color w:val="auto"/>
        </w:rPr>
        <w:tab/>
      </w:r>
      <w:r>
        <w:rPr>
          <w:rFonts w:ascii="Arial" w:cs="Arial" w:eastAsia="Arial" w:hAnsi="Arial"/>
          <w:sz w:val="19"/>
          <w:szCs w:val="19"/>
          <w:b w:val="1"/>
          <w:bCs w:val="1"/>
          <w:color w:val="auto"/>
        </w:rPr>
        <w:t>Page 2</w:t>
      </w:r>
    </w:p>
    <w:p>
      <w:pPr>
        <w:spacing w:after="0" w:line="337"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b w:val="1"/>
          <w:bCs w:val="1"/>
          <w:color w:val="auto"/>
        </w:rPr>
        <w:t xml:space="preserve">Selling, general and administrative expenses </w:t>
      </w:r>
      <w:r>
        <w:rPr>
          <w:rFonts w:ascii="Arial" w:cs="Arial" w:eastAsia="Arial" w:hAnsi="Arial"/>
          <w:sz w:val="20"/>
          <w:szCs w:val="20"/>
          <w:color w:val="auto"/>
        </w:rPr>
        <w:t>for the first quarter of 2026 totaled $460.1 million, or 9.9% of revenues,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$404.0 million, or 10.4% of revenues, for the first quarter of 2025.</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Company's </w:t>
      </w:r>
      <w:r>
        <w:rPr>
          <w:rFonts w:ascii="Arial" w:cs="Arial" w:eastAsia="Arial" w:hAnsi="Arial"/>
          <w:sz w:val="20"/>
          <w:szCs w:val="20"/>
          <w:b w:val="1"/>
          <w:bCs w:val="1"/>
          <w:color w:val="auto"/>
        </w:rPr>
        <w:t>income tax rate</w:t>
      </w:r>
      <w:r>
        <w:rPr>
          <w:rFonts w:ascii="Arial" w:cs="Arial" w:eastAsia="Arial" w:hAnsi="Arial"/>
          <w:sz w:val="20"/>
          <w:szCs w:val="20"/>
          <w:color w:val="auto"/>
        </w:rPr>
        <w:t xml:space="preserve"> for the first quarter of 2026 was 25.5%, compared to 25.8% for the first quarter of 2025.</w:t>
      </w:r>
    </w:p>
    <w:p>
      <w:pPr>
        <w:spacing w:after="0" w:line="25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color w:val="auto"/>
        </w:rPr>
        <w:t xml:space="preserve">Remaining performance obligations </w:t>
      </w:r>
      <w:r>
        <w:rPr>
          <w:rFonts w:ascii="Arial" w:cs="Arial" w:eastAsia="Arial" w:hAnsi="Arial"/>
          <w:sz w:val="20"/>
          <w:szCs w:val="20"/>
          <w:color w:val="auto"/>
        </w:rPr>
        <w:t>(“RPOs”) as of March 31, 2026 were a record $15.62 billion, compared to $13.25 billion</w:t>
      </w:r>
      <w:r>
        <w:rPr>
          <w:rFonts w:ascii="Arial" w:cs="Arial" w:eastAsia="Arial" w:hAnsi="Arial"/>
          <w:sz w:val="20"/>
          <w:szCs w:val="20"/>
          <w:b w:val="1"/>
          <w:bCs w:val="1"/>
          <w:color w:val="auto"/>
        </w:rPr>
        <w:t xml:space="preserve"> </w:t>
      </w:r>
      <w:r>
        <w:rPr>
          <w:rFonts w:ascii="Arial" w:cs="Arial" w:eastAsia="Arial" w:hAnsi="Arial"/>
          <w:sz w:val="20"/>
          <w:szCs w:val="20"/>
          <w:color w:val="auto"/>
        </w:rPr>
        <w:t>as of December 31, 2025 and $11.75 billion as of March 31, 2025. When compared to December 31, 2025, the Company experienced increased RPOs across the majority of the sectors in which it operates, with the most significant growth coming from Network and Communications, Water and Wastewater, Institutional, and Healthcare.</w:t>
      </w:r>
    </w:p>
    <w:p>
      <w:pPr>
        <w:spacing w:after="0" w:line="193"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Tony Guzzi, Chairman, President, and Chief Executive Officer of EMCOR, commented, “We started the year well, with record quarterly revenues and strong operating performance as we experienced sustained momentum across several key market sectors and geographies. These results reflect our strategic positioning and operational excellence across our construction and services platforms while demonstrating our customers' confidence in EMCOR as a partner of choice for complex and mission-critical projects. Our Remaining Performance Obligations are again at record levels and we are pleased with the quality and diversity of our bookings during the quarter. The fundamentals of our business remain strong and we are well-positioned for the remainder of 2026."</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2026 Guidance</w:t>
      </w:r>
    </w:p>
    <w:p>
      <w:pPr>
        <w:spacing w:after="0" w:line="258"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Based on anticipated project mix and visibility into the remainder of the year, EMCOR now expects the following for full year 2026:</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60" w:type="dxa"/>
            <w:vAlign w:val="bottom"/>
            <w:tcBorders>
              <w:top w:val="single" w:sz="8" w:color="auto"/>
              <w:left w:val="single" w:sz="8" w:color="auto"/>
              <w:right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40" w:type="dxa"/>
            <w:vAlign w:val="bottom"/>
            <w:tcBorders>
              <w:top w:val="single" w:sz="8" w:color="auto"/>
              <w:right w:val="single" w:sz="8" w:color="auto"/>
            </w:tcBorders>
            <w:gridSpan w:val="3"/>
          </w:tcPr>
          <w:p>
            <w:pPr>
              <w:jc w:val="center"/>
              <w:ind w:right="740"/>
              <w:spacing w:after="0"/>
              <w:rPr>
                <w:sz w:val="20"/>
                <w:szCs w:val="20"/>
                <w:color w:val="auto"/>
              </w:rPr>
            </w:pPr>
            <w:r>
              <w:rPr>
                <w:rFonts w:ascii="Arial" w:cs="Arial" w:eastAsia="Arial" w:hAnsi="Arial"/>
                <w:sz w:val="20"/>
                <w:szCs w:val="20"/>
                <w:b w:val="1"/>
                <w:bCs w:val="1"/>
                <w:color w:val="auto"/>
                <w:w w:val="99"/>
              </w:rPr>
              <w:t xml:space="preserve">Current Guidance </w:t>
            </w:r>
            <w:r>
              <w:rPr>
                <w:rFonts w:ascii="Arial" w:cs="Arial" w:eastAsia="Arial" w:hAnsi="Arial"/>
                <w:sz w:val="14"/>
                <w:szCs w:val="14"/>
                <w:b w:val="1"/>
                <w:bCs w:val="1"/>
                <w:i w:val="1"/>
                <w:iCs w:val="1"/>
                <w:color w:val="auto"/>
                <w:w w:val="99"/>
              </w:rPr>
              <w:t>(4/29/26)</w:t>
            </w:r>
          </w:p>
        </w:tc>
        <w:tc>
          <w:tcPr>
            <w:tcW w:w="3760" w:type="dxa"/>
            <w:vAlign w:val="bottom"/>
            <w:tcBorders>
              <w:top w:val="single" w:sz="8" w:color="auto"/>
              <w:right w:val="single" w:sz="8" w:color="auto"/>
            </w:tcBorders>
            <w:gridSpan w:val="4"/>
          </w:tcPr>
          <w:p>
            <w:pPr>
              <w:jc w:val="center"/>
              <w:ind w:right="20"/>
              <w:spacing w:after="0"/>
              <w:rPr>
                <w:sz w:val="20"/>
                <w:szCs w:val="20"/>
                <w:color w:val="auto"/>
              </w:rPr>
            </w:pPr>
            <w:r>
              <w:rPr>
                <w:rFonts w:ascii="Arial" w:cs="Arial" w:eastAsia="Arial" w:hAnsi="Arial"/>
                <w:sz w:val="20"/>
                <w:szCs w:val="20"/>
                <w:b w:val="1"/>
                <w:bCs w:val="1"/>
                <w:color w:val="auto"/>
                <w:w w:val="99"/>
              </w:rPr>
              <w:t xml:space="preserve">Previous Guidance </w:t>
            </w:r>
            <w:r>
              <w:rPr>
                <w:rFonts w:ascii="Arial" w:cs="Arial" w:eastAsia="Arial" w:hAnsi="Arial"/>
                <w:sz w:val="14"/>
                <w:szCs w:val="14"/>
                <w:b w:val="1"/>
                <w:bCs w:val="1"/>
                <w:i w:val="1"/>
                <w:iCs w:val="1"/>
                <w:color w:val="auto"/>
                <w:w w:val="99"/>
              </w:rPr>
              <w:t>(2/26/26)</w:t>
            </w:r>
          </w:p>
        </w:tc>
      </w:tr>
      <w:tr>
        <w:trPr>
          <w:trHeight w:val="61"/>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80" w:type="dxa"/>
            <w:vAlign w:val="bottom"/>
            <w:tcBorders>
              <w:top w:val="single" w:sz="8" w:color="auto"/>
              <w:bottom w:val="single" w:sz="8" w:color="auto"/>
            </w:tcBorders>
          </w:tcPr>
          <w:p>
            <w:pPr>
              <w:spacing w:after="0"/>
              <w:rPr>
                <w:sz w:val="5"/>
                <w:szCs w:val="5"/>
                <w:color w:val="auto"/>
              </w:rPr>
            </w:pPr>
          </w:p>
        </w:tc>
        <w:tc>
          <w:tcPr>
            <w:tcW w:w="1220" w:type="dxa"/>
            <w:vAlign w:val="bottom"/>
            <w:tcBorders>
              <w:top w:val="single" w:sz="8" w:color="auto"/>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20" w:type="dxa"/>
            <w:vAlign w:val="bottom"/>
            <w:tcBorders>
              <w:top w:val="single" w:sz="8" w:color="auto"/>
              <w:bottom w:val="single" w:sz="8" w:color="auto"/>
            </w:tcBorders>
          </w:tcPr>
          <w:p>
            <w:pPr>
              <w:spacing w:after="0"/>
              <w:rPr>
                <w:sz w:val="5"/>
                <w:szCs w:val="5"/>
                <w:color w:val="auto"/>
              </w:rPr>
            </w:pPr>
          </w:p>
        </w:tc>
        <w:tc>
          <w:tcPr>
            <w:tcW w:w="1300" w:type="dxa"/>
            <w:vAlign w:val="bottom"/>
            <w:tcBorders>
              <w:top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r>
      <w:tr>
        <w:trPr>
          <w:trHeight w:val="260"/>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Revenues</w:t>
            </w:r>
          </w:p>
        </w:tc>
        <w:tc>
          <w:tcPr>
            <w:tcW w:w="374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20"/>
                <w:szCs w:val="20"/>
                <w:color w:val="auto"/>
                <w:w w:val="99"/>
              </w:rPr>
              <w:t>$18.50 billion – $19.25 billion</w:t>
            </w:r>
          </w:p>
        </w:tc>
        <w:tc>
          <w:tcPr>
            <w:tcW w:w="376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20"/>
                <w:szCs w:val="20"/>
                <w:color w:val="auto"/>
                <w:w w:val="98"/>
              </w:rPr>
              <w:t>$17.75 billion – $18.50 billion</w:t>
            </w:r>
          </w:p>
        </w:tc>
      </w:tr>
      <w:tr>
        <w:trPr>
          <w:trHeight w:val="30"/>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60"/>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Operating Margin</w:t>
            </w:r>
          </w:p>
        </w:tc>
        <w:tc>
          <w:tcPr>
            <w:tcW w:w="1780" w:type="dxa"/>
            <w:vAlign w:val="bottom"/>
            <w:gridSpan w:val="2"/>
          </w:tcPr>
          <w:p>
            <w:pPr>
              <w:jc w:val="right"/>
              <w:spacing w:after="0"/>
              <w:rPr>
                <w:sz w:val="20"/>
                <w:szCs w:val="20"/>
                <w:color w:val="auto"/>
              </w:rPr>
            </w:pPr>
            <w:r>
              <w:rPr>
                <w:rFonts w:ascii="Arial" w:cs="Arial" w:eastAsia="Arial" w:hAnsi="Arial"/>
                <w:sz w:val="20"/>
                <w:szCs w:val="20"/>
                <w:color w:val="auto"/>
              </w:rPr>
              <w:t>9.0%</w:t>
            </w:r>
          </w:p>
        </w:tc>
        <w:tc>
          <w:tcPr>
            <w:tcW w:w="19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 9.4%</w:t>
            </w:r>
          </w:p>
        </w:tc>
        <w:tc>
          <w:tcPr>
            <w:tcW w:w="1780" w:type="dxa"/>
            <w:vAlign w:val="bottom"/>
            <w:gridSpan w:val="2"/>
          </w:tcPr>
          <w:p>
            <w:pPr>
              <w:jc w:val="right"/>
              <w:ind w:right="20"/>
              <w:spacing w:after="0"/>
              <w:rPr>
                <w:sz w:val="20"/>
                <w:szCs w:val="20"/>
                <w:color w:val="auto"/>
              </w:rPr>
            </w:pPr>
            <w:r>
              <w:rPr>
                <w:rFonts w:ascii="Arial" w:cs="Arial" w:eastAsia="Arial" w:hAnsi="Arial"/>
                <w:sz w:val="20"/>
                <w:szCs w:val="20"/>
                <w:color w:val="auto"/>
              </w:rPr>
              <w:t>9.0%</w:t>
            </w:r>
          </w:p>
        </w:tc>
        <w:tc>
          <w:tcPr>
            <w:tcW w:w="19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 9.4%</w:t>
            </w:r>
          </w:p>
        </w:tc>
      </w:tr>
      <w:tr>
        <w:trPr>
          <w:trHeight w:val="30"/>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60"/>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Diluted EPS</w:t>
            </w:r>
          </w:p>
        </w:tc>
        <w:tc>
          <w:tcPr>
            <w:tcW w:w="1780" w:type="dxa"/>
            <w:vAlign w:val="bottom"/>
            <w:gridSpan w:val="2"/>
          </w:tcPr>
          <w:p>
            <w:pPr>
              <w:jc w:val="right"/>
              <w:spacing w:after="0"/>
              <w:rPr>
                <w:sz w:val="20"/>
                <w:szCs w:val="20"/>
                <w:color w:val="auto"/>
              </w:rPr>
            </w:pPr>
            <w:r>
              <w:rPr>
                <w:rFonts w:ascii="Arial" w:cs="Arial" w:eastAsia="Arial" w:hAnsi="Arial"/>
                <w:sz w:val="20"/>
                <w:szCs w:val="20"/>
                <w:color w:val="auto"/>
              </w:rPr>
              <w:t>$28.25</w:t>
            </w:r>
          </w:p>
        </w:tc>
        <w:tc>
          <w:tcPr>
            <w:tcW w:w="19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 $29.75</w:t>
            </w:r>
          </w:p>
        </w:tc>
        <w:tc>
          <w:tcPr>
            <w:tcW w:w="1780" w:type="dxa"/>
            <w:vAlign w:val="bottom"/>
            <w:gridSpan w:val="2"/>
          </w:tcPr>
          <w:p>
            <w:pPr>
              <w:jc w:val="right"/>
              <w:ind w:right="20"/>
              <w:spacing w:after="0"/>
              <w:rPr>
                <w:sz w:val="20"/>
                <w:szCs w:val="20"/>
                <w:color w:val="auto"/>
              </w:rPr>
            </w:pPr>
            <w:r>
              <w:rPr>
                <w:rFonts w:ascii="Arial" w:cs="Arial" w:eastAsia="Arial" w:hAnsi="Arial"/>
                <w:sz w:val="20"/>
                <w:szCs w:val="20"/>
                <w:color w:val="auto"/>
              </w:rPr>
              <w:t>$27.25</w:t>
            </w:r>
          </w:p>
        </w:tc>
        <w:tc>
          <w:tcPr>
            <w:tcW w:w="198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 $29.25</w:t>
            </w:r>
          </w:p>
        </w:tc>
      </w:tr>
      <w:tr>
        <w:trPr>
          <w:trHeight w:val="30"/>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2026 Earnings Conference Call Information</w:t>
      </w:r>
    </w:p>
    <w:p>
      <w:pPr>
        <w:spacing w:after="0" w:line="245"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 xml:space="preserve">EMCOR Group's first quarter conference call will be broadcast live via the internet today, Wednesday, April 29, at 10:30 AM Eastern Daylight Time and can be accessed through the Company's website at </w:t>
      </w:r>
      <w:r>
        <w:rPr>
          <w:rFonts w:ascii="Arial" w:cs="Arial" w:eastAsia="Arial" w:hAnsi="Arial"/>
          <w:sz w:val="20"/>
          <w:szCs w:val="20"/>
          <w:u w:val="single" w:color="auto"/>
          <w:color w:val="0000FF"/>
        </w:rPr>
        <w:t>www.emcorgroup.com</w:t>
      </w:r>
      <w:r>
        <w:rPr>
          <w:rFonts w:ascii="Arial" w:cs="Arial" w:eastAsia="Arial" w:hAnsi="Arial"/>
          <w:sz w:val="20"/>
          <w:szCs w:val="20"/>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EMCOR</w:t>
      </w:r>
    </w:p>
    <w:p>
      <w:pPr>
        <w:spacing w:after="0" w:line="245" w:lineRule="exact"/>
        <w:rPr>
          <w:sz w:val="20"/>
          <w:szCs w:val="20"/>
          <w:color w:val="auto"/>
        </w:rPr>
      </w:pPr>
    </w:p>
    <w:p>
      <w:pPr>
        <w:jc w:val="both"/>
        <w:ind w:right="20"/>
        <w:spacing w:after="0" w:line="251" w:lineRule="auto"/>
        <w:rPr>
          <w:sz w:val="20"/>
          <w:szCs w:val="20"/>
          <w:color w:val="auto"/>
        </w:rPr>
      </w:pPr>
      <w:r>
        <w:rPr>
          <w:rFonts w:ascii="Arial" w:cs="Arial" w:eastAsia="Arial" w:hAnsi="Arial"/>
          <w:sz w:val="20"/>
          <w:szCs w:val="20"/>
          <w:color w:val="auto"/>
        </w:rPr>
        <w:t xml:space="preserve">A Fortune 500 company and a member of the S&amp;P 500, EMCOR Group, Inc. is a leader in mechanical and electrical construction services, industrial and energy infrastructure, and building services. This press release and other press releases may be viewed at the Company’s website at </w:t>
      </w:r>
      <w:r>
        <w:rPr>
          <w:rFonts w:ascii="Arial" w:cs="Arial" w:eastAsia="Arial" w:hAnsi="Arial"/>
          <w:sz w:val="20"/>
          <w:szCs w:val="20"/>
          <w:u w:val="single" w:color="auto"/>
          <w:color w:val="0000FF"/>
        </w:rPr>
        <w:t>www.emcorgroup.com</w:t>
      </w:r>
      <w:r>
        <w:rPr>
          <w:rFonts w:ascii="Arial" w:cs="Arial" w:eastAsia="Arial" w:hAnsi="Arial"/>
          <w:sz w:val="20"/>
          <w:szCs w:val="20"/>
          <w:color w:val="auto"/>
        </w:rPr>
        <w:t xml:space="preserve">. EMCOR routinely posts information that may be important to investors on the landing page of the Company's website and in the “Investor Relations” section of the website at </w:t>
      </w:r>
      <w:r>
        <w:rPr>
          <w:rFonts w:ascii="Arial" w:cs="Arial" w:eastAsia="Arial" w:hAnsi="Arial"/>
          <w:sz w:val="20"/>
          <w:szCs w:val="20"/>
          <w:u w:val="single" w:color="auto"/>
          <w:color w:val="0000FF"/>
        </w:rPr>
        <w:t>www.emcorgroup.com/investor-relations</w:t>
      </w:r>
      <w:r>
        <w:rPr>
          <w:rFonts w:ascii="Arial" w:cs="Arial" w:eastAsia="Arial" w:hAnsi="Arial"/>
          <w:sz w:val="20"/>
          <w:szCs w:val="20"/>
          <w:color w:val="000000"/>
        </w:rPr>
        <w:t>. Investors and potential investors are encouraged to consult the EMCOR website</w:t>
      </w:r>
      <w:r>
        <w:rPr>
          <w:rFonts w:ascii="Arial" w:cs="Arial" w:eastAsia="Arial" w:hAnsi="Arial"/>
          <w:sz w:val="20"/>
          <w:szCs w:val="20"/>
          <w:color w:val="0000FF"/>
        </w:rPr>
        <w:t xml:space="preserve"> </w:t>
      </w:r>
      <w:r>
        <w:rPr>
          <w:rFonts w:ascii="Arial" w:cs="Arial" w:eastAsia="Arial" w:hAnsi="Arial"/>
          <w:sz w:val="20"/>
          <w:szCs w:val="20"/>
          <w:color w:val="000000"/>
        </w:rPr>
        <w:t>regularly for important information about EMCOR.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60"/>
          </w:cols>
          <w:pgMar w:left="320" w:top="1440" w:right="319" w:bottom="1440" w:gutter="0" w:footer="0" w:header="0"/>
        </w:sectPr>
      </w:pPr>
    </w:p>
    <w:bookmarkStart w:id="4" w:name="page5"/>
    <w:bookmarkEnd w:id="4"/>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60400"/>
                    </a:xfrm>
                    <a:prstGeom prst="rect">
                      <a:avLst/>
                    </a:prstGeom>
                    <a:noFill/>
                  </pic:spPr>
                </pic:pic>
              </a:graphicData>
            </a:graphic>
          </wp:anchor>
        </w:drawing>
      </w:r>
    </w:p>
    <w:p>
      <w:pPr>
        <w:ind w:left="80"/>
        <w:spacing w:after="0"/>
        <w:tabs>
          <w:tab w:leader="none" w:pos="10560" w:val="left"/>
        </w:tabs>
        <w:rPr>
          <w:sz w:val="20"/>
          <w:szCs w:val="20"/>
          <w:color w:val="auto"/>
        </w:rPr>
      </w:pPr>
      <w:r>
        <w:rPr>
          <w:rFonts w:ascii="Arial" w:cs="Arial" w:eastAsia="Arial" w:hAnsi="Arial"/>
          <w:sz w:val="20"/>
          <w:szCs w:val="20"/>
          <w:b w:val="1"/>
          <w:bCs w:val="1"/>
          <w:color w:val="auto"/>
        </w:rPr>
        <w:t>EMCOR Reports First Quarter 2026 Results</w:t>
      </w:r>
      <w:r>
        <w:rPr>
          <w:sz w:val="20"/>
          <w:szCs w:val="20"/>
          <w:color w:val="auto"/>
        </w:rPr>
        <w:tab/>
      </w:r>
      <w:r>
        <w:rPr>
          <w:rFonts w:ascii="Arial" w:cs="Arial" w:eastAsia="Arial" w:hAnsi="Arial"/>
          <w:sz w:val="19"/>
          <w:szCs w:val="19"/>
          <w:b w:val="1"/>
          <w:bCs w:val="1"/>
          <w:color w:val="auto"/>
        </w:rPr>
        <w:t>Page 3</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 Looking Statements: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This release and related presentation contain forward-looking statements. Such statements speak only as of April 29, 2026, and EMCOR assumes no obligation to update any such forward-looking statements, unless required by law. These forward-looking statements include statements regarding anticipated future operating and financial performance; financial guidance and projections underlying that guidance; the nature and impact of our remaining performance obligations; the timing of future projects; our ability to support organic growth and balanced capital allocation, including the anticipated impact of our strategic investments; the financial and operational impact of acquisitions and/or dispositions, our competitiveness, market opportunities, and growth prospects; customer trends; and project mix. These forward-looking statements involve risks and uncertainties that could cause actual results to differ materially from those anticipated (whether expressly or implied) by the forward-looking statements. Accordingly, these statements do not guarantee future performance or events. Applicable risks and uncertainties include, but are not limited to, adverse effects of general economic conditions; domestic and international political developments and/or conflicts; changes in the specific markets for EMCOR’s services; weakness of the sectors from which we generate revenues; adverse business conditions; scarcity of skilled labor; productivity challenges; the nature and extent of supply chain disruptions impacting availability and pricing of materials; inflationary trends, including fluctuations in energy costs; the impact of legislation and/or government regulations; changes in foreign trade policy including the effect of tariffs; changes in interest rates; the lack of availability of adequate levels of surety bonding; increased competition; the impact of legal proceedings, claims, lawsuits, or governmental investigations; and unfavorable developments in the mix of our business. Certain of the risk factors associated with EMCOR’s business are also discussed in Part I, Item 1A “Risk Factors,” of the Company’s 2025 Form 10-K, and in other reports filed from time to time with the Securities and Exchange Commission and available at www.sec.gov and www.emcorgroup.com. Such risk factors should be taken into account in evaluating our business, including any forward-looking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Measures: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This release and related presentation also include certain financial measures that were not prepared in accordance with U.S. generally accepted accounting principles (GAAP). Reconciliations of those non-GAAP financial measures to the most directly comparable GAAP financial measures are included in this release. The Company uses these non-GAAP measures as key performance indicators for the purpose of evaluating performance internally. We also believe that these non-GAAP measures provide investors with useful information with respect to our ongoing operations. Any non-GAAP financial measures presented are not, and should not be viewed as, substitutes for financial measures required by GAAP, have no standardized meaning prescribed by GAAP, and may not be comparable to the calculation of similar measures of other companies.</w:t>
      </w:r>
    </w:p>
    <w:p>
      <w:pPr>
        <w:sectPr>
          <w:pgSz w:w="11900" w:h="16838" w:orient="portrait"/>
          <w:cols w:equalWidth="0" w:num="1">
            <w:col w:w="11240"/>
          </w:cols>
          <w:pgMar w:left="320" w:top="1440" w:right="339" w:bottom="1440" w:gutter="0" w:footer="0" w:header="0"/>
        </w:sectPr>
      </w:pPr>
    </w:p>
    <w:bookmarkStart w:id="5" w:name="page6"/>
    <w:bookmarkEnd w:id="5"/>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ind w:left="220"/>
              <w:spacing w:after="0"/>
              <w:rPr>
                <w:sz w:val="20"/>
                <w:szCs w:val="20"/>
                <w:color w:val="auto"/>
              </w:rPr>
            </w:pPr>
            <w:r>
              <w:rPr>
                <w:rFonts w:ascii="Arial" w:cs="Arial" w:eastAsia="Arial" w:hAnsi="Arial"/>
                <w:sz w:val="16"/>
                <w:szCs w:val="16"/>
                <w:b w:val="1"/>
                <w:bCs w:val="1"/>
                <w:color w:val="auto"/>
              </w:rPr>
              <w:t>For the quarters ended</w:t>
            </w:r>
          </w:p>
        </w:tc>
      </w:tr>
      <w:tr>
        <w:trPr>
          <w:trHeight w:val="216"/>
        </w:trPr>
        <w:tc>
          <w:tcPr>
            <w:tcW w:w="8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r>
      <w:tr>
        <w:trPr>
          <w:trHeight w:val="209"/>
        </w:trPr>
        <w:tc>
          <w:tcPr>
            <w:tcW w:w="8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4,628,233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3,867,372</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3,764,283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3,144,654</w:t>
            </w: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863,950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722,718</w:t>
            </w:r>
          </w:p>
        </w:tc>
      </w:tr>
      <w:tr>
        <w:trPr>
          <w:trHeight w:val="21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460,105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403,962</w:t>
            </w: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318,756</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Net periodic pension income</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5,387</w:t>
            </w:r>
          </w:p>
        </w:tc>
      </w:tr>
      <w:tr>
        <w:trPr>
          <w:trHeight w:val="209"/>
        </w:trPr>
        <w:tc>
          <w:tcPr>
            <w:tcW w:w="84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410,072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324,197</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104,588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83,520</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305,484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240,677</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8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Weighted average shares of common stock outstanding:</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8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44,564,932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45,634,877</w:t>
            </w:r>
          </w:p>
        </w:tc>
      </w:tr>
      <w:tr>
        <w:trPr>
          <w:trHeight w:val="215"/>
        </w:trPr>
        <w:tc>
          <w:tcPr>
            <w:tcW w:w="8400" w:type="dxa"/>
            <w:vAlign w:val="bottom"/>
          </w:tcPr>
          <w:p>
            <w:pPr>
              <w:ind w:left="16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44,687,157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45,784,235</w:t>
            </w:r>
          </w:p>
        </w:tc>
      </w:tr>
      <w:tr>
        <w:trPr>
          <w:trHeight w:val="257"/>
        </w:trPr>
        <w:tc>
          <w:tcPr>
            <w:tcW w:w="8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color w:val="auto"/>
              </w:rPr>
              <w:t>Dividends declared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6"/>
                <w:szCs w:val="16"/>
                <w:color w:val="auto"/>
              </w:rPr>
            </w:pPr>
          </w:p>
        </w:tc>
        <w:tc>
          <w:tcPr>
            <w:tcW w:w="14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1,111,968</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4,549,956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4,241,177</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337,717</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130,208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126,252</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120,231</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6,074,493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5,937,345</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253,277</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478,646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439,029</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1,433,937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1,412,414</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Identifiable intangible assets,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1,089,866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1,108,828</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140,506</w:t>
            </w:r>
          </w:p>
        </w:tc>
        <w:tc>
          <w:tcPr>
            <w:tcW w:w="0" w:type="dxa"/>
            <w:vAlign w:val="bottom"/>
          </w:tcPr>
          <w:p>
            <w:pPr>
              <w:spacing w:after="0"/>
              <w:rPr>
                <w:sz w:val="1"/>
                <w:szCs w:val="1"/>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9,508,107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9,291,399</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1,149,028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1,227,428</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2,417,021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2,327,360</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benefits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870,154</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Other accrued expenses and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443,116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340,785</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99,213</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4,821,499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4,864,940</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long-term</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368,996</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obligations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410,910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382,482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5,640,531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5,616,418</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Equity:</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EMCOR Group, Inc. stockholders’ equity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3,866,539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3,673,944</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3,867,576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3,674,981</w:t>
            </w:r>
          </w:p>
        </w:tc>
        <w:tc>
          <w:tcPr>
            <w:tcW w:w="0" w:type="dxa"/>
            <w:vAlign w:val="bottom"/>
          </w:tcPr>
          <w:p>
            <w:pPr>
              <w:spacing w:after="0"/>
              <w:rPr>
                <w:sz w:val="1"/>
                <w:szCs w:val="1"/>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9,508,107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9,291,399</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440" w:right="379" w:bottom="1440" w:gutter="0" w:footer="0" w:header="0"/>
        </w:sectPr>
      </w:pPr>
    </w:p>
    <w:bookmarkStart w:id="7" w:name="page8"/>
    <w:bookmarkEnd w:id="7"/>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the Three Months Ended March 31, 2026 and 2025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8"/>
        </w:trPr>
        <w:tc>
          <w:tcPr>
            <w:tcW w:w="8000" w:type="dxa"/>
            <w:vAlign w:val="bottom"/>
          </w:tcPr>
          <w:p>
            <w:pPr>
              <w:ind w:left="20"/>
              <w:spacing w:after="0"/>
              <w:rPr>
                <w:sz w:val="20"/>
                <w:szCs w:val="20"/>
                <w:color w:val="auto"/>
              </w:rPr>
            </w:pPr>
            <w:r>
              <w:rPr>
                <w:rFonts w:ascii="Arial" w:cs="Arial" w:eastAsia="Arial" w:hAnsi="Arial"/>
                <w:sz w:val="16"/>
                <w:szCs w:val="16"/>
                <w:color w:val="auto"/>
              </w:rPr>
              <w:t>Cash flows - operating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240,677</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15,582</w:t>
            </w:r>
          </w:p>
        </w:tc>
      </w:tr>
      <w:tr>
        <w:trPr>
          <w:trHeight w:val="215"/>
        </w:trPr>
        <w:tc>
          <w:tcPr>
            <w:tcW w:w="8000" w:type="dxa"/>
            <w:vAlign w:val="bottom"/>
          </w:tcPr>
          <w:p>
            <w:pPr>
              <w:ind w:left="220"/>
              <w:spacing w:after="0"/>
              <w:rPr>
                <w:sz w:val="20"/>
                <w:szCs w:val="20"/>
                <w:color w:val="auto"/>
              </w:rPr>
            </w:pPr>
            <w:r>
              <w:rPr>
                <w:rFonts w:ascii="Arial" w:cs="Arial" w:eastAsia="Arial" w:hAnsi="Arial"/>
                <w:sz w:val="16"/>
                <w:szCs w:val="16"/>
                <w:color w:val="auto"/>
              </w:rPr>
              <w:t>Amortization of identifiable intangible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34,212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26,363</w:t>
            </w: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4,718</w:t>
            </w:r>
          </w:p>
        </w:tc>
      </w:tr>
      <w:tr>
        <w:trPr>
          <w:trHeight w:val="215"/>
        </w:trPr>
        <w:tc>
          <w:tcPr>
            <w:tcW w:w="80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2,777</w:t>
            </w: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Excess tax benefits from share-based compensation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r>
      <w:tr>
        <w:trPr>
          <w:trHeight w:val="215"/>
        </w:trPr>
        <w:tc>
          <w:tcPr>
            <w:tcW w:w="8000" w:type="dxa"/>
            <w:vAlign w:val="bottom"/>
          </w:tcPr>
          <w:p>
            <w:pPr>
              <w:ind w:left="220"/>
              <w:spacing w:after="0"/>
              <w:rPr>
                <w:sz w:val="20"/>
                <w:szCs w:val="20"/>
                <w:color w:val="auto"/>
              </w:rPr>
            </w:pPr>
            <w:r>
              <w:rPr>
                <w:rFonts w:ascii="Arial" w:cs="Arial" w:eastAsia="Arial" w:hAnsi="Arial"/>
                <w:sz w:val="16"/>
                <w:szCs w:val="16"/>
                <w:color w:val="auto"/>
              </w:rPr>
              <w:t>Non-cash share-based compensation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9,270</w:t>
            </w: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reconciling items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r>
      <w:tr>
        <w:trPr>
          <w:trHeight w:val="21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operating assets and liabilities, excluding the effect of businesses acquired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(186,622)</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108,471</w:t>
            </w:r>
          </w:p>
        </w:tc>
      </w:tr>
      <w:tr>
        <w:trPr>
          <w:trHeight w:val="208"/>
        </w:trPr>
        <w:tc>
          <w:tcPr>
            <w:tcW w:w="8000" w:type="dxa"/>
            <w:vAlign w:val="bottom"/>
          </w:tcPr>
          <w:p>
            <w:pPr>
              <w:ind w:left="20"/>
              <w:spacing w:after="0"/>
              <w:rPr>
                <w:sz w:val="20"/>
                <w:szCs w:val="20"/>
                <w:color w:val="auto"/>
              </w:rPr>
            </w:pPr>
            <w:r>
              <w:rPr>
                <w:rFonts w:ascii="Arial" w:cs="Arial" w:eastAsia="Arial" w:hAnsi="Arial"/>
                <w:sz w:val="16"/>
                <w:szCs w:val="16"/>
                <w:color w:val="auto"/>
              </w:rPr>
              <w:t>Cash flows - 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acquisitions of businesses, net of cash acquired</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(850,644)</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sale or disposal of property, plant, and equipment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1,334</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(26,131)</w:t>
            </w:r>
          </w:p>
        </w:tc>
      </w:tr>
      <w:tr>
        <w:trPr>
          <w:trHeight w:val="21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(875,441)</w:t>
            </w:r>
          </w:p>
        </w:tc>
      </w:tr>
      <w:tr>
        <w:trPr>
          <w:trHeight w:val="20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 financing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revolving credit facility</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250,000</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finance lease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Dividends paid to stockholders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(11,451)</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(224,832)</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Taxes paid related to net share settlements of equity awards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(13,351)</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contingent consideration arrangements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4,869</w:t>
            </w: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Decrease in cash, cash equivalents, and restricted cash</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(195,548)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(762,930)</w:t>
            </w:r>
          </w:p>
        </w:tc>
      </w:tr>
      <w:tr>
        <w:trPr>
          <w:trHeight w:val="216"/>
        </w:trPr>
        <w:tc>
          <w:tcPr>
            <w:tcW w:w="8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Cash, cash equivalents, and restricted cash at beginning of year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1,111,968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1,340,395</w:t>
            </w:r>
          </w:p>
        </w:tc>
      </w:tr>
      <w:tr>
        <w:trPr>
          <w:trHeight w:val="210"/>
        </w:trPr>
        <w:tc>
          <w:tcPr>
            <w:tcW w:w="800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 xml:space="preserve">Cash, cash equivalents, and restricted cash at end of period </w:t>
            </w:r>
            <w:r>
              <w:rPr>
                <w:rFonts w:ascii="Arial" w:cs="Arial" w:eastAsia="Arial" w:hAnsi="Arial"/>
                <w:sz w:val="21"/>
                <w:szCs w:val="21"/>
                <w:b w:val="1"/>
                <w:bCs w:val="1"/>
                <w:color w:val="auto"/>
                <w:vertAlign w:val="superscript"/>
              </w:rPr>
              <w:t>(2)</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916,420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577,465</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w:t>
      </w:r>
    </w:p>
    <w:p>
      <w:pPr>
        <w:spacing w:after="0" w:line="98"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$0.8 million of restricted cash classified as “Prepaid expenses and other” in the Consolidated Balance Sheet as of December 31, 2024.</w:t>
      </w:r>
    </w:p>
    <w:p>
      <w:pPr>
        <w:spacing w:after="0" w:line="59" w:lineRule="exact"/>
        <w:rPr>
          <w:rFonts w:ascii="Arial" w:cs="Arial" w:eastAsia="Arial" w:hAnsi="Arial"/>
          <w:sz w:val="16"/>
          <w:szCs w:val="16"/>
          <w:color w:val="auto"/>
        </w:rPr>
      </w:pPr>
    </w:p>
    <w:p>
      <w:pPr>
        <w:ind w:left="400" w:hanging="392"/>
        <w:spacing w:after="0"/>
        <w:tabs>
          <w:tab w:leader="none" w:pos="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$0.8 million of restricted cash classified as “Prepaid expenses and other” in the Consolidated Balance Sheet as of March 31, 2025.</w:t>
      </w:r>
    </w:p>
    <w:p>
      <w:pPr>
        <w:sectPr>
          <w:pgSz w:w="11900" w:h="16838" w:orient="portrait"/>
          <w:cols w:equalWidth="0" w:num="1">
            <w:col w:w="11180"/>
          </w:cols>
          <w:pgMar w:left="320" w:top="1440" w:right="399" w:bottom="1440" w:gutter="0" w:footer="0" w:header="0"/>
        </w:sectPr>
      </w:pPr>
    </w:p>
    <w:bookmarkStart w:id="8" w:name="page9"/>
    <w:bookmarkEnd w:id="8"/>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percentages)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b w:val="1"/>
                <w:bCs w:val="1"/>
                <w:color w:val="auto"/>
              </w:rPr>
              <w:t>For the quarters ended March 31,</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3"/>
                <w:szCs w:val="13"/>
                <w:color w:val="auto"/>
              </w:rPr>
            </w:pPr>
          </w:p>
        </w:tc>
        <w:tc>
          <w:tcPr>
            <w:tcW w:w="1280" w:type="dxa"/>
            <w:vAlign w:val="bottom"/>
            <w:gridSpan w:val="2"/>
          </w:tcPr>
          <w:p>
            <w:pPr>
              <w:ind w:left="400"/>
              <w:spacing w:after="0" w:line="155" w:lineRule="exact"/>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118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Revenues from unrelated entities: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1,447,414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1,087,844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5"/>
        </w:trPr>
        <w:tc>
          <w:tcPr>
            <w:tcW w:w="592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2,026,341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1,572,602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772,649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742,623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381,829</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359,002</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4,628,233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3,762,071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Kingdom building services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105,301</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4,628,233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3,867,372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quarters ended March 31,</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 of Segment</w:t>
            </w:r>
          </w:p>
        </w:tc>
        <w:tc>
          <w:tcPr>
            <w:tcW w:w="300" w:type="dxa"/>
            <w:vAlign w:val="bottom"/>
          </w:tcPr>
          <w:p>
            <w:pPr>
              <w:spacing w:after="0"/>
              <w:rPr>
                <w:sz w:val="13"/>
                <w:szCs w:val="13"/>
                <w:color w:val="auto"/>
              </w:rPr>
            </w:pPr>
          </w:p>
        </w:tc>
        <w:tc>
          <w:tcPr>
            <w:tcW w:w="10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 of Segment</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Revenues</w:t>
            </w:r>
          </w:p>
        </w:tc>
        <w:tc>
          <w:tcPr>
            <w:tcW w:w="0" w:type="dxa"/>
            <w:vAlign w:val="bottom"/>
          </w:tcPr>
          <w:p>
            <w:pPr>
              <w:spacing w:after="0"/>
              <w:rPr>
                <w:sz w:val="1"/>
                <w:szCs w:val="1"/>
                <w:color w:val="auto"/>
              </w:rPr>
            </w:pP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136,057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221,643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186,747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15"/>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449,353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365,987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United Kingdom building services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4,987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administration</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(45,508)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(52,218)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color w:val="auto"/>
              </w:rPr>
              <w:t>Consolidated operating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403,845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318,756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Net periodic pension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410,072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324,197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ORGANIC REVENUE GROWTH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percentages) (Unaudited)</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provides a reconciliation between organic revenue growth, a non-GAAP measure, and total revenue growth for the quarter ended March 31, 2026.</w:t>
      </w:r>
    </w:p>
    <w:p>
      <w:pPr>
        <w:spacing w:after="0" w:line="200" w:lineRule="exact"/>
        <w:rPr>
          <w:sz w:val="20"/>
          <w:szCs w:val="20"/>
          <w:color w:val="auto"/>
        </w:rPr>
      </w:pPr>
    </w:p>
    <w:p>
      <w:pPr>
        <w:spacing w:after="0" w:line="262" w:lineRule="exact"/>
        <w:rPr>
          <w:sz w:val="20"/>
          <w:szCs w:val="20"/>
          <w:color w:val="auto"/>
        </w:rPr>
      </w:pPr>
    </w:p>
    <w:p>
      <w:pPr>
        <w:jc w:val="center"/>
        <w:ind w:left="8180"/>
        <w:spacing w:after="0"/>
        <w:rPr>
          <w:sz w:val="20"/>
          <w:szCs w:val="20"/>
          <w:color w:val="auto"/>
        </w:rPr>
      </w:pPr>
      <w:r>
        <w:rPr>
          <w:rFonts w:ascii="Arial" w:cs="Arial" w:eastAsia="Arial" w:hAnsi="Arial"/>
          <w:sz w:val="16"/>
          <w:szCs w:val="16"/>
          <w:b w:val="1"/>
          <w:bCs w:val="1"/>
          <w:color w:val="auto"/>
        </w:rPr>
        <w:t>For the quarter ended</w:t>
      </w:r>
    </w:p>
    <w:p>
      <w:pPr>
        <w:jc w:val="center"/>
        <w:ind w:left="8180"/>
        <w:spacing w:after="0"/>
        <w:rPr>
          <w:sz w:val="20"/>
          <w:szCs w:val="20"/>
          <w:color w:val="auto"/>
        </w:rPr>
      </w:pPr>
      <w:r>
        <w:rPr>
          <w:rFonts w:ascii="Arial" w:cs="Arial" w:eastAsia="Arial" w:hAnsi="Arial"/>
          <w:sz w:val="16"/>
          <w:szCs w:val="16"/>
          <w:b w:val="1"/>
          <w:bCs w:val="1"/>
          <w:color w:val="auto"/>
        </w:rPr>
        <w:t>March 31, 2026</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revenue growth</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rPr>
              <w:t>760,861</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19.7 %</w:t>
            </w:r>
          </w:p>
        </w:tc>
      </w:tr>
      <w:tr>
        <w:trPr>
          <w:trHeight w:val="215"/>
        </w:trPr>
        <w:tc>
          <w:tcPr>
            <w:tcW w:w="8200" w:type="dxa"/>
            <w:vAlign w:val="bottom"/>
          </w:tcPr>
          <w:p>
            <w:pPr>
              <w:ind w:left="20"/>
              <w:spacing w:after="0"/>
              <w:rPr>
                <w:sz w:val="20"/>
                <w:szCs w:val="20"/>
                <w:color w:val="auto"/>
              </w:rPr>
            </w:pPr>
            <w:r>
              <w:rPr>
                <w:rFonts w:ascii="Arial" w:cs="Arial" w:eastAsia="Arial" w:hAnsi="Arial"/>
                <w:sz w:val="16"/>
                <w:szCs w:val="16"/>
                <w:color w:val="auto"/>
              </w:rPr>
              <w:t>Incremental revenues from acquisitions</w:t>
            </w:r>
          </w:p>
        </w:tc>
        <w:tc>
          <w:tcPr>
            <w:tcW w:w="380" w:type="dxa"/>
            <w:vAlign w:val="bottom"/>
          </w:tcPr>
          <w:p>
            <w:pPr>
              <w:spacing w:after="0"/>
              <w:rPr>
                <w:sz w:val="18"/>
                <w:szCs w:val="18"/>
                <w:color w:val="auto"/>
              </w:rPr>
            </w:pPr>
          </w:p>
        </w:tc>
        <w:tc>
          <w:tcPr>
            <w:tcW w:w="1020" w:type="dxa"/>
            <w:vAlign w:val="bottom"/>
          </w:tcPr>
          <w:p>
            <w:pPr>
              <w:jc w:val="center"/>
              <w:ind w:left="199"/>
              <w:spacing w:after="0"/>
              <w:rPr>
                <w:sz w:val="20"/>
                <w:szCs w:val="20"/>
                <w:color w:val="auto"/>
              </w:rPr>
            </w:pPr>
            <w:r>
              <w:rPr>
                <w:rFonts w:ascii="Arial" w:cs="Arial" w:eastAsia="Arial" w:hAnsi="Arial"/>
                <w:sz w:val="16"/>
                <w:szCs w:val="16"/>
                <w:color w:val="auto"/>
              </w:rPr>
              <w:t>(234,120)</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lost revenues resulting from sale of United Kingdom operations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219"/>
              <w:spacing w:after="0"/>
              <w:rPr>
                <w:sz w:val="20"/>
                <w:szCs w:val="20"/>
                <w:color w:val="auto"/>
              </w:rPr>
            </w:pPr>
            <w:r>
              <w:rPr>
                <w:rFonts w:ascii="Arial" w:cs="Arial" w:eastAsia="Arial" w:hAnsi="Arial"/>
                <w:sz w:val="16"/>
                <w:szCs w:val="16"/>
                <w:color w:val="auto"/>
              </w:rPr>
              <w:t>105,301</w:t>
            </w:r>
          </w:p>
        </w:tc>
        <w:tc>
          <w:tcPr>
            <w:tcW w:w="12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0"/>
        </w:trPr>
        <w:tc>
          <w:tcPr>
            <w:tcW w:w="8200" w:type="dxa"/>
            <w:vAlign w:val="bottom"/>
          </w:tcPr>
          <w:p>
            <w:pPr>
              <w:ind w:left="20"/>
              <w:spacing w:after="0"/>
              <w:rPr>
                <w:sz w:val="20"/>
                <w:szCs w:val="20"/>
                <w:color w:val="auto"/>
              </w:rPr>
            </w:pPr>
            <w:r>
              <w:rPr>
                <w:rFonts w:ascii="Arial" w:cs="Arial" w:eastAsia="Arial" w:hAnsi="Arial"/>
                <w:sz w:val="16"/>
                <w:szCs w:val="16"/>
                <w:color w:val="auto"/>
              </w:rPr>
              <w:t>Organic revenue growth, a non-GAAP measure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rPr>
              <w:t>632,042</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16.8 %</w:t>
            </w:r>
          </w:p>
        </w:tc>
      </w:tr>
      <w:tr>
        <w:trPr>
          <w:trHeight w:val="21"/>
        </w:trPr>
        <w:tc>
          <w:tcPr>
            <w:tcW w:w="8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OTHER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percentages and per share data) (Unaudited)</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press release, we provide non-GAAP operating income, non-GAAP operating margin, non-GAAP net income, and non-GAAP diluted earnings per common share for the quarter ended March 31, 2025. The following tables provide a reconciliation between these amounts determined on a non-GAAP basis and the most directly comparable GAAP measures.</w:t>
      </w:r>
    </w:p>
    <w:p>
      <w:pPr>
        <w:spacing w:after="0" w:line="75"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For the quarter ended</w:t>
      </w:r>
    </w:p>
    <w:p>
      <w:pPr>
        <w:jc w:val="center"/>
        <w:ind w:left="84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4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318,756</w:t>
            </w: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9,353</w:t>
            </w:r>
          </w:p>
        </w:tc>
      </w:tr>
      <w:tr>
        <w:trPr>
          <w:trHeight w:val="235"/>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operating income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403,845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328,109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For the quarter ended</w:t>
      </w:r>
    </w:p>
    <w:p>
      <w:pPr>
        <w:jc w:val="center"/>
        <w:ind w:left="82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margin</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15"/>
        </w:trPr>
        <w:tc>
          <w:tcPr>
            <w:tcW w:w="9200" w:type="dxa"/>
            <w:vAlign w:val="bottom"/>
            <w:gridSpan w:val="2"/>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42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37"/>
        </w:trPr>
        <w:tc>
          <w:tcPr>
            <w:tcW w:w="9200" w:type="dxa"/>
            <w:vAlign w:val="bottom"/>
            <w:gridSpan w:val="2"/>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Non-GAAP operating margin </w:t>
            </w:r>
            <w:r>
              <w:rPr>
                <w:rFonts w:ascii="Arial" w:cs="Arial" w:eastAsia="Arial" w:hAnsi="Arial"/>
                <w:sz w:val="21"/>
                <w:szCs w:val="21"/>
                <w:color w:val="auto"/>
                <w:vertAlign w:val="superscript"/>
              </w:rPr>
              <w:t>(1)</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For the quarter ended</w:t>
      </w:r>
    </w:p>
    <w:p>
      <w:pPr>
        <w:jc w:val="center"/>
        <w:ind w:left="84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4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GAAP 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240,677</w:t>
            </w:r>
          </w:p>
        </w:tc>
      </w:tr>
      <w:tr>
        <w:trPr>
          <w:trHeight w:val="215"/>
        </w:trPr>
        <w:tc>
          <w:tcPr>
            <w:tcW w:w="8420" w:type="dxa"/>
            <w:vAlign w:val="bottom"/>
          </w:tcPr>
          <w:p>
            <w:pPr>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9,353</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Tax effect of transaction expenses related to the acquisition of Miller Electric</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r>
      <w:tr>
        <w:trPr>
          <w:trHeight w:val="210"/>
        </w:trPr>
        <w:tc>
          <w:tcPr>
            <w:tcW w:w="8420" w:type="dxa"/>
            <w:vAlign w:val="bottom"/>
          </w:tcPr>
          <w:p>
            <w:pPr>
              <w:spacing w:after="0"/>
              <w:rPr>
                <w:sz w:val="20"/>
                <w:szCs w:val="20"/>
                <w:color w:val="auto"/>
              </w:rPr>
            </w:pPr>
            <w:r>
              <w:rPr>
                <w:rFonts w:ascii="Arial" w:cs="Arial" w:eastAsia="Arial" w:hAnsi="Arial"/>
                <w:sz w:val="16"/>
                <w:szCs w:val="16"/>
                <w:color w:val="auto"/>
              </w:rPr>
              <w:t>Non-GAAP net income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305,484</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247,620</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For the quarter ended</w:t>
      </w:r>
    </w:p>
    <w:p>
      <w:pPr>
        <w:jc w:val="center"/>
        <w:ind w:left="84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84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GAAP diluted earnings per common share</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center"/>
              <w:ind w:left="499"/>
              <w:spacing w:after="0"/>
              <w:rPr>
                <w:sz w:val="20"/>
                <w:szCs w:val="20"/>
                <w:color w:val="auto"/>
              </w:rPr>
            </w:pPr>
            <w:r>
              <w:rPr>
                <w:rFonts w:ascii="Arial" w:cs="Arial" w:eastAsia="Arial" w:hAnsi="Arial"/>
                <w:sz w:val="16"/>
                <w:szCs w:val="16"/>
                <w:color w:val="auto"/>
                <w:w w:val="96"/>
              </w:rPr>
              <w:t>5.26</w:t>
            </w:r>
          </w:p>
        </w:tc>
      </w:tr>
      <w:tr>
        <w:trPr>
          <w:trHeight w:val="215"/>
        </w:trPr>
        <w:tc>
          <w:tcPr>
            <w:tcW w:w="8420" w:type="dxa"/>
            <w:vAlign w:val="bottom"/>
          </w:tcPr>
          <w:p>
            <w:pPr>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9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center"/>
              <w:ind w:left="499"/>
              <w:spacing w:after="0"/>
              <w:rPr>
                <w:sz w:val="20"/>
                <w:szCs w:val="20"/>
                <w:color w:val="auto"/>
              </w:rPr>
            </w:pPr>
            <w:r>
              <w:rPr>
                <w:rFonts w:ascii="Arial" w:cs="Arial" w:eastAsia="Arial" w:hAnsi="Arial"/>
                <w:sz w:val="16"/>
                <w:szCs w:val="16"/>
                <w:color w:val="auto"/>
                <w:w w:val="96"/>
              </w:rPr>
              <w:t>0.20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Tax effect of transaction expenses related to the acquisition of Miller Electric</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rPr>
              <w:t>(0.05)</w:t>
            </w:r>
          </w:p>
        </w:tc>
      </w:tr>
      <w:tr>
        <w:trPr>
          <w:trHeight w:val="210"/>
        </w:trPr>
        <w:tc>
          <w:tcPr>
            <w:tcW w:w="8420" w:type="dxa"/>
            <w:vAlign w:val="bottom"/>
          </w:tcPr>
          <w:p>
            <w:pPr>
              <w:spacing w:after="0"/>
              <w:rPr>
                <w:sz w:val="20"/>
                <w:szCs w:val="20"/>
                <w:color w:val="auto"/>
              </w:rPr>
            </w:pPr>
            <w:r>
              <w:rPr>
                <w:rFonts w:ascii="Arial" w:cs="Arial" w:eastAsia="Arial" w:hAnsi="Arial"/>
                <w:sz w:val="16"/>
                <w:szCs w:val="16"/>
                <w:color w:val="auto"/>
              </w:rPr>
              <w:t>Non-GAAP diluted earnings per common share</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center"/>
              <w:ind w:left="499"/>
              <w:spacing w:after="0"/>
              <w:rPr>
                <w:sz w:val="20"/>
                <w:szCs w:val="20"/>
                <w:color w:val="auto"/>
              </w:rPr>
            </w:pPr>
            <w:r>
              <w:rPr>
                <w:rFonts w:ascii="Arial" w:cs="Arial" w:eastAsia="Arial" w:hAnsi="Arial"/>
                <w:sz w:val="16"/>
                <w:szCs w:val="16"/>
                <w:color w:val="auto"/>
                <w:w w:val="96"/>
              </w:rPr>
              <w:t>5.41</w:t>
            </w:r>
          </w:p>
        </w:tc>
      </w:tr>
      <w:tr>
        <w:trPr>
          <w:trHeight w:val="20"/>
        </w:trPr>
        <w:tc>
          <w:tcPr>
            <w:tcW w:w="8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_________</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Amounts presented in this table do not foot due to rounding.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 #</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2026-04-29T07:07:23Z</dcterms:created>
  <dcterms:modified xsi:type="dcterms:W3CDTF">2026-04-29T07:07:23Z</dcterms:modified>
</cp:coreProperties>
</file>