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0"/>
        <w:gridCol w:w="3064"/>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Altmeyer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1330 SAXTON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MECHANICSBURG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EMCOR Group, Inc.</w:t>
              </w:r>
            </w:hyperlink>
            <w:r>
              <w:rPr/>
              <w:t xml:space="preserve"> [ </w:t>
            </w:r>
            <w:r>
              <w:rPr>
                <w:rFonts w:ascii="Times;serif" w:hAnsi="Times;serif"/>
                <w:color w:val="0000FF"/>
                <w:sz w:val="24"/>
                <w:shd w:fill="FFFFFF" w:val="clear"/>
              </w:rPr>
              <w:t>EME</w:t>
            </w:r>
            <w:r>
              <w:rPr/>
              <w:t xml:space="preserve"> ] </w:t>
              <w:br/>
            </w:r>
            <w:r>
              <w:rPr>
                <w:rFonts w:ascii="arial;helvetica;sans-serif" w:hAnsi="arial;helvetica;sans-serif"/>
                <w:sz w:val="20"/>
              </w:rPr>
              <w:t>Foreign Trading Symbol</w:t>
            </w:r>
          </w:p>
        </w:tc>
        <w:tc>
          <w:tcPr>
            <w:tcW w:w="306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0"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0"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4"/>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33,923</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in respect of already outstanding RSUs as a consequence of a dividend paid on the Company's common stock on July 31, 2026. The RSUs issued on July 31, 2026 are subject to the same vesting and forfeiture provisions as the RSUs in respect of which they have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in respect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Maxine L. Mauricio,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846" TargetMode="External"/><Relationship Id="rId5" Type="http://schemas.openxmlformats.org/officeDocument/2006/relationships/hyperlink" Target="http://www.sec.gov/cgi-bin/browse-edgar?action=getcompany&amp;CIK=00001056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3349</Characters>
  <CharactersWithSpaces>3905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