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33020</wp:posOffset>
            </wp:positionV>
            <wp:extent cx="1080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-172085</wp:posOffset>
            </wp:positionV>
            <wp:extent cx="10801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31, 2025</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EMCOR Group,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6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1-8267</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11-2125338</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9"/>
                <w:szCs w:val="19"/>
                <w:color w:val="auto"/>
              </w:rPr>
            </w:pPr>
          </w:p>
        </w:tc>
        <w:tc>
          <w:tcPr>
            <w:tcW w:w="3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32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301 Merritt Seven</w:t>
            </w:r>
          </w:p>
        </w:tc>
        <w:tc>
          <w:tcPr>
            <w:tcW w:w="1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Norwalk, Connecticut</w:t>
            </w:r>
          </w:p>
        </w:tc>
        <w:tc>
          <w:tcPr>
            <w:tcW w:w="1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06851-1092</w:t>
            </w: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20" w:type="dxa"/>
            <w:vAlign w:val="bottom"/>
            <w:gridSpan w:val="4"/>
          </w:tcPr>
          <w:p>
            <w:pPr>
              <w:jc w:val="center"/>
              <w:ind w:righ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5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52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 849-7800</w:t>
            </w: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3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EME</w:t>
            </w:r>
          </w:p>
        </w:tc>
        <w:tc>
          <w:tcPr>
            <w:tcW w:w="10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3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6"/>
        </w:trPr>
        <w:tc>
          <w:tcPr>
            <w:tcW w:w="22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31, 2025, EMCOR Group, Inc. issued a press release disclosing results of operations for its fiscal 2025 second quarter ended June 30, 2025. A copy of such press release is furnished as Exhibit 99.1 to this Current Report on Form 8-K.</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shall not be deemed to be “filed” for the purposes of Section 18 of the Securities Exchange Act of 1934 (the “Exchange Act”) or otherwise subject to the liabilities of that Section, nor shall it be incorporated by reference into a filing under the Securities Act of 1933, or the Exchange Act, except as shall be expressly set forth by specific reference in such a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8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Press Release issued by EMCOR Group, Inc. on July 31, 2025 disclosing results of operations for its fiscal 2025 second</w:t>
            </w:r>
          </w:p>
        </w:tc>
      </w:tr>
      <w:tr>
        <w:trPr>
          <w:trHeight w:val="155"/>
        </w:trPr>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quarter ended June 30, 2025.</w:t>
            </w:r>
          </w:p>
        </w:tc>
        <w:tc>
          <w:tcPr>
            <w:tcW w:w="656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r>
      <w:tr>
        <w:trPr>
          <w:trHeight w:val="26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EMCOR Group, Inc.</w:t>
      </w:r>
    </w:p>
    <w:p>
      <w:pPr>
        <w:sectPr>
          <w:pgSz w:w="11900" w:h="16838" w:orient="portrait"/>
          <w:cols w:equalWidth="0" w:num="1">
            <w:col w:w="11240"/>
          </w:cols>
          <w:pgMar w:left="320" w:top="1319"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July 31, 2025</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17145</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3">
            <w:col w:w="4680" w:space="720"/>
            <w:col w:w="420" w:space="720"/>
            <w:col w:w="4700"/>
          </w:cols>
          <w:pgMar w:left="320" w:top="1319" w:right="339" w:bottom="1440" w:gutter="0" w:footer="0" w:header="0"/>
          <w:type w:val="continuous"/>
        </w:sectPr>
      </w:pPr>
    </w:p>
    <w:p>
      <w:pPr>
        <w:jc w:val="center"/>
        <w:ind w:left="3680"/>
        <w:spacing w:after="0"/>
        <w:rPr>
          <w:sz w:val="20"/>
          <w:szCs w:val="20"/>
          <w:color w:val="auto"/>
        </w:rPr>
      </w:pPr>
      <w:r>
        <w:rPr>
          <w:rFonts w:ascii="Times New Roman" w:cs="Times New Roman" w:eastAsia="Times New Roman" w:hAnsi="Times New Roman"/>
          <w:sz w:val="18"/>
          <w:szCs w:val="18"/>
          <w:color w:val="auto"/>
        </w:rPr>
        <w:t>Anthony J. Guzzi</w:t>
      </w:r>
    </w:p>
    <w:p>
      <w:pPr>
        <w:spacing w:after="0" w:line="27"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7"/>
          <w:szCs w:val="17"/>
          <w:color w:val="auto"/>
        </w:rPr>
        <w:t>Chairman, President, and</w:t>
      </w:r>
    </w:p>
    <w:p>
      <w:pPr>
        <w:spacing w:after="0" w:line="3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319" w:right="339" w:bottom="1440" w:gutter="0" w:footer="0" w:header="0"/>
          <w:type w:val="continuous"/>
        </w:sectPr>
      </w:pPr>
    </w:p>
    <w:bookmarkStart w:id="2" w:name="page3"/>
    <w:bookmarkEnd w:id="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ind w:left="9980"/>
        <w:spacing w:after="0"/>
        <w:rPr>
          <w:sz w:val="20"/>
          <w:szCs w:val="20"/>
          <w:color w:val="auto"/>
        </w:rPr>
      </w:pPr>
      <w:r>
        <w:rPr>
          <w:rFonts w:ascii="Arial" w:cs="Arial" w:eastAsia="Arial" w:hAnsi="Arial"/>
          <w:sz w:val="20"/>
          <w:szCs w:val="20"/>
          <w:b w:val="1"/>
          <w:bCs w:val="1"/>
          <w:color w:val="auto"/>
        </w:rPr>
        <w:t>EXHIBIT 99.1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700" w:type="dxa"/>
            <w:vAlign w:val="bottom"/>
          </w:tcPr>
          <w:p>
            <w:pPr>
              <w:jc w:val="right"/>
              <w:ind w:right="164"/>
              <w:spacing w:after="0"/>
              <w:rPr>
                <w:sz w:val="20"/>
                <w:szCs w:val="20"/>
                <w:color w:val="auto"/>
              </w:rPr>
            </w:pPr>
            <w:r>
              <w:rPr>
                <w:rFonts w:ascii="Arial" w:cs="Arial" w:eastAsia="Arial" w:hAnsi="Arial"/>
                <w:sz w:val="18"/>
                <w:szCs w:val="18"/>
                <w:color w:val="auto"/>
              </w:rPr>
              <w:t>FOR:</w:t>
            </w:r>
          </w:p>
        </w:tc>
        <w:tc>
          <w:tcPr>
            <w:tcW w:w="2200" w:type="dxa"/>
            <w:vAlign w:val="bottom"/>
          </w:tcPr>
          <w:p>
            <w:pPr>
              <w:ind w:left="280"/>
              <w:spacing w:after="0"/>
              <w:rPr>
                <w:sz w:val="20"/>
                <w:szCs w:val="20"/>
                <w:color w:val="auto"/>
              </w:rPr>
            </w:pPr>
            <w:r>
              <w:rPr>
                <w:rFonts w:ascii="Arial" w:cs="Arial" w:eastAsia="Arial" w:hAnsi="Arial"/>
                <w:sz w:val="18"/>
                <w:szCs w:val="18"/>
                <w:color w:val="auto"/>
              </w:rPr>
              <w:t>EMCOR GROUP, INC.</w:t>
            </w:r>
          </w:p>
        </w:tc>
      </w:tr>
      <w:tr>
        <w:trPr>
          <w:trHeight w:val="280"/>
        </w:trPr>
        <w:tc>
          <w:tcPr>
            <w:tcW w:w="6700" w:type="dxa"/>
            <w:vAlign w:val="bottom"/>
          </w:tcPr>
          <w:p>
            <w:pPr>
              <w:jc w:val="right"/>
              <w:ind w:right="5164"/>
              <w:spacing w:after="0"/>
              <w:rPr>
                <w:sz w:val="20"/>
                <w:szCs w:val="20"/>
                <w:color w:val="auto"/>
              </w:rPr>
            </w:pPr>
            <w:r>
              <w:rPr>
                <w:rFonts w:ascii="Arial" w:cs="Arial" w:eastAsia="Arial" w:hAnsi="Arial"/>
                <w:sz w:val="22"/>
                <w:szCs w:val="22"/>
                <w:b w:val="1"/>
                <w:bCs w:val="1"/>
                <w:color w:val="auto"/>
                <w:w w:val="96"/>
              </w:rPr>
              <w:t>News Release</w:t>
            </w:r>
          </w:p>
        </w:tc>
        <w:tc>
          <w:tcPr>
            <w:tcW w:w="2200" w:type="dxa"/>
            <w:vAlign w:val="bottom"/>
          </w:tcPr>
          <w:p>
            <w:pPr>
              <w:spacing w:after="0"/>
              <w:rPr>
                <w:sz w:val="24"/>
                <w:szCs w:val="24"/>
                <w:color w:val="auto"/>
              </w:rPr>
            </w:pPr>
          </w:p>
        </w:tc>
      </w:tr>
      <w:tr>
        <w:trPr>
          <w:trHeight w:val="181"/>
        </w:trPr>
        <w:tc>
          <w:tcPr>
            <w:tcW w:w="6700" w:type="dxa"/>
            <w:vAlign w:val="bottom"/>
          </w:tcPr>
          <w:p>
            <w:pPr>
              <w:jc w:val="right"/>
              <w:ind w:right="164"/>
              <w:spacing w:after="0" w:line="181" w:lineRule="exact"/>
              <w:rPr>
                <w:sz w:val="20"/>
                <w:szCs w:val="20"/>
                <w:color w:val="auto"/>
              </w:rPr>
            </w:pPr>
            <w:r>
              <w:rPr>
                <w:rFonts w:ascii="Arial" w:cs="Arial" w:eastAsia="Arial" w:hAnsi="Arial"/>
                <w:sz w:val="18"/>
                <w:szCs w:val="18"/>
                <w:color w:val="auto"/>
              </w:rPr>
              <w:t>CONTACT:</w:t>
            </w:r>
          </w:p>
        </w:tc>
        <w:tc>
          <w:tcPr>
            <w:tcW w:w="2200" w:type="dxa"/>
            <w:vAlign w:val="bottom"/>
          </w:tcPr>
          <w:p>
            <w:pPr>
              <w:ind w:left="280"/>
              <w:spacing w:after="0" w:line="181" w:lineRule="exact"/>
              <w:rPr>
                <w:sz w:val="20"/>
                <w:szCs w:val="20"/>
                <w:color w:val="auto"/>
              </w:rPr>
            </w:pPr>
            <w:r>
              <w:rPr>
                <w:rFonts w:ascii="Arial" w:cs="Arial" w:eastAsia="Arial" w:hAnsi="Arial"/>
                <w:sz w:val="18"/>
                <w:szCs w:val="18"/>
                <w:color w:val="auto"/>
              </w:rPr>
              <w:t>Andrew G. Backman</w:t>
            </w:r>
          </w:p>
        </w:tc>
      </w:tr>
      <w:tr>
        <w:trPr>
          <w:trHeight w:val="175"/>
        </w:trPr>
        <w:tc>
          <w:tcPr>
            <w:tcW w:w="6700" w:type="dxa"/>
            <w:vAlign w:val="bottom"/>
          </w:tcPr>
          <w:p>
            <w:pPr>
              <w:spacing w:after="0"/>
              <w:rPr>
                <w:sz w:val="15"/>
                <w:szCs w:val="15"/>
                <w:color w:val="auto"/>
              </w:rPr>
            </w:pPr>
          </w:p>
        </w:tc>
        <w:tc>
          <w:tcPr>
            <w:tcW w:w="2200" w:type="dxa"/>
            <w:vAlign w:val="bottom"/>
          </w:tcPr>
          <w:p>
            <w:pPr>
              <w:ind w:left="280"/>
              <w:spacing w:after="0" w:line="176" w:lineRule="exact"/>
              <w:rPr>
                <w:sz w:val="20"/>
                <w:szCs w:val="20"/>
                <w:color w:val="auto"/>
              </w:rPr>
            </w:pPr>
            <w:r>
              <w:rPr>
                <w:rFonts w:ascii="Arial" w:cs="Arial" w:eastAsia="Arial" w:hAnsi="Arial"/>
                <w:sz w:val="18"/>
                <w:szCs w:val="18"/>
                <w:color w:val="auto"/>
              </w:rPr>
              <w:t>Vice President</w:t>
            </w:r>
          </w:p>
        </w:tc>
      </w:tr>
      <w:tr>
        <w:trPr>
          <w:trHeight w:val="184"/>
        </w:trPr>
        <w:tc>
          <w:tcPr>
            <w:tcW w:w="6700" w:type="dxa"/>
            <w:vAlign w:val="bottom"/>
          </w:tcPr>
          <w:p>
            <w:pPr>
              <w:spacing w:after="0"/>
              <w:rPr>
                <w:sz w:val="15"/>
                <w:szCs w:val="15"/>
                <w:color w:val="auto"/>
              </w:rPr>
            </w:pPr>
          </w:p>
        </w:tc>
        <w:tc>
          <w:tcPr>
            <w:tcW w:w="2200" w:type="dxa"/>
            <w:vAlign w:val="bottom"/>
          </w:tcPr>
          <w:p>
            <w:pPr>
              <w:ind w:left="280"/>
              <w:spacing w:after="0" w:line="183" w:lineRule="exact"/>
              <w:rPr>
                <w:sz w:val="20"/>
                <w:szCs w:val="20"/>
                <w:color w:val="auto"/>
              </w:rPr>
            </w:pPr>
            <w:r>
              <w:rPr>
                <w:rFonts w:ascii="Arial" w:cs="Arial" w:eastAsia="Arial" w:hAnsi="Arial"/>
                <w:sz w:val="18"/>
                <w:szCs w:val="18"/>
                <w:color w:val="auto"/>
              </w:rPr>
              <w:t>Investor Relations</w:t>
            </w:r>
          </w:p>
        </w:tc>
      </w:tr>
      <w:tr>
        <w:trPr>
          <w:trHeight w:val="239"/>
        </w:trPr>
        <w:tc>
          <w:tcPr>
            <w:tcW w:w="670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(203) 849-7938</w:t>
            </w:r>
          </w:p>
        </w:tc>
      </w:tr>
      <w:tr>
        <w:trPr>
          <w:trHeight w:val="401"/>
        </w:trPr>
        <w:tc>
          <w:tcPr>
            <w:tcW w:w="6700" w:type="dxa"/>
            <w:vAlign w:val="bottom"/>
          </w:tcPr>
          <w:p>
            <w:pPr>
              <w:spacing w:after="0"/>
              <w:rPr>
                <w:sz w:val="24"/>
                <w:szCs w:val="24"/>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FTI Consulting, Inc.</w:t>
            </w:r>
          </w:p>
        </w:tc>
      </w:tr>
      <w:tr>
        <w:trPr>
          <w:trHeight w:val="176"/>
        </w:trPr>
        <w:tc>
          <w:tcPr>
            <w:tcW w:w="6700" w:type="dxa"/>
            <w:vAlign w:val="bottom"/>
          </w:tcPr>
          <w:p>
            <w:pPr>
              <w:spacing w:after="0"/>
              <w:rPr>
                <w:sz w:val="15"/>
                <w:szCs w:val="15"/>
                <w:color w:val="auto"/>
              </w:rPr>
            </w:pPr>
          </w:p>
        </w:tc>
        <w:tc>
          <w:tcPr>
            <w:tcW w:w="2200" w:type="dxa"/>
            <w:vAlign w:val="bottom"/>
          </w:tcPr>
          <w:p>
            <w:pPr>
              <w:ind w:left="280"/>
              <w:spacing w:after="0" w:line="176" w:lineRule="exact"/>
              <w:rPr>
                <w:sz w:val="20"/>
                <w:szCs w:val="20"/>
                <w:color w:val="auto"/>
              </w:rPr>
            </w:pPr>
            <w:r>
              <w:rPr>
                <w:rFonts w:ascii="Arial" w:cs="Arial" w:eastAsia="Arial" w:hAnsi="Arial"/>
                <w:sz w:val="18"/>
                <w:szCs w:val="18"/>
                <w:color w:val="auto"/>
                <w:w w:val="98"/>
              </w:rPr>
              <w:t>Investors: Blake Mueller</w:t>
            </w:r>
          </w:p>
        </w:tc>
      </w:tr>
      <w:tr>
        <w:trPr>
          <w:trHeight w:val="239"/>
        </w:trPr>
        <w:tc>
          <w:tcPr>
            <w:tcW w:w="6700" w:type="dxa"/>
            <w:vAlign w:val="bottom"/>
          </w:tcPr>
          <w:p>
            <w:pPr>
              <w:spacing w:after="0"/>
              <w:rPr>
                <w:sz w:val="20"/>
                <w:szCs w:val="20"/>
                <w:color w:val="auto"/>
              </w:rPr>
            </w:pPr>
          </w:p>
        </w:tc>
        <w:tc>
          <w:tcPr>
            <w:tcW w:w="2200" w:type="dxa"/>
            <w:vAlign w:val="bottom"/>
          </w:tcPr>
          <w:p>
            <w:pPr>
              <w:ind w:left="280"/>
              <w:spacing w:after="0"/>
              <w:rPr>
                <w:sz w:val="20"/>
                <w:szCs w:val="20"/>
                <w:color w:val="auto"/>
              </w:rPr>
            </w:pPr>
            <w:r>
              <w:rPr>
                <w:rFonts w:ascii="Arial" w:cs="Arial" w:eastAsia="Arial" w:hAnsi="Arial"/>
                <w:sz w:val="18"/>
                <w:szCs w:val="18"/>
                <w:color w:val="auto"/>
              </w:rPr>
              <w:t>(718) 578-3706</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EMCOR GROUP, INC. REPORTS SECOND QUARTER 2025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Revenues of $4.30 billion, 17.4% Increase Year-over-Year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Record Quarterly Diluted EPS of $6.72, 28.0% Increase Year-over-Year</w:t>
      </w:r>
    </w:p>
    <w:p>
      <w:pPr>
        <w:spacing w:after="0" w:line="50" w:lineRule="exact"/>
        <w:rPr>
          <w:sz w:val="20"/>
          <w:szCs w:val="20"/>
          <w:color w:val="auto"/>
        </w:rPr>
      </w:pPr>
    </w:p>
    <w:p>
      <w:pPr>
        <w:jc w:val="center"/>
        <w:spacing w:after="0" w:line="345" w:lineRule="auto"/>
        <w:rPr>
          <w:sz w:val="20"/>
          <w:szCs w:val="20"/>
          <w:color w:val="auto"/>
        </w:rPr>
      </w:pPr>
      <w:r>
        <w:rPr>
          <w:rFonts w:ascii="Arial" w:cs="Arial" w:eastAsia="Arial" w:hAnsi="Arial"/>
          <w:sz w:val="17"/>
          <w:szCs w:val="17"/>
          <w:b w:val="1"/>
          <w:bCs w:val="1"/>
          <w:i w:val="1"/>
          <w:iCs w:val="1"/>
          <w:color w:val="auto"/>
        </w:rPr>
        <w:t>Record Remaining Performance Obligations of $11.91 billion, 32.4% Increase Year-over-Year Narrows 2025 Revenue Guidance Range to $16.4 billion - $16.9 billion from $16.1 billion - $16.9 billion Increases Non-GAAP 2025 Diluted EPS Guidance Range to $24.50 - $25.75 from $22.65 - $24.00</w:t>
      </w:r>
    </w:p>
    <w:p>
      <w:pPr>
        <w:spacing w:after="0" w:line="200" w:lineRule="exact"/>
        <w:rPr>
          <w:sz w:val="20"/>
          <w:szCs w:val="20"/>
          <w:color w:val="auto"/>
        </w:rPr>
      </w:pP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NORWALK, CONNECTICUT, July 31, 2025 - EMCOR Group, Inc. (NYSE: EME) today reported results for the second quarter ended June 30, 2025.</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2025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for the second quarter of 2025 totaled $4.30 billion, an increase of 17.4%, compared to $3.67 billion for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quarter of 2024. </w:t>
      </w:r>
      <w:r>
        <w:rPr>
          <w:rFonts w:ascii="Arial" w:cs="Arial" w:eastAsia="Arial" w:hAnsi="Arial"/>
          <w:sz w:val="20"/>
          <w:szCs w:val="20"/>
          <w:b w:val="1"/>
          <w:bCs w:val="1"/>
          <w:color w:val="auto"/>
        </w:rPr>
        <w:t>Net income</w:t>
      </w:r>
      <w:r>
        <w:rPr>
          <w:rFonts w:ascii="Arial" w:cs="Arial" w:eastAsia="Arial" w:hAnsi="Arial"/>
          <w:sz w:val="20"/>
          <w:szCs w:val="20"/>
          <w:color w:val="auto"/>
        </w:rPr>
        <w:t xml:space="preserve"> for the second quarter of 2025 was $302.2 million, or $6.72 per diluted share, compared to net income of $247.6 million, or $5.25 per diluted share, for the second quarter of 2024.</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second quarter of 2025 was $415.2 million, or 9.6%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$332.8 million, or 9.1% of revenues, for the second quarter of 2024. Operating income included depreciation and amortization expense (inclusive of amortization of identifiable intangible assets) of $46.6 million and $34.2 million for the second quarter of 2025 and 2024, respectively.</w:t>
      </w:r>
    </w:p>
    <w:p>
      <w:pPr>
        <w:spacing w:after="0" w:line="205"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for the second quarter of 2025 totaled $418.6 million, or 9.7% of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$351.2 million, or 9.6% of revenues, for the second quarter of 2024.</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the second quarter of 2025 was 26.7%, compared to 27.0% for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3" w:name="page4"/>
    <w:bookmarkEnd w:id="3"/>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Second Quarter 2025 Results</w:t>
      </w:r>
      <w:r>
        <w:rPr>
          <w:sz w:val="20"/>
          <w:szCs w:val="20"/>
          <w:color w:val="auto"/>
        </w:rPr>
        <w:tab/>
      </w:r>
      <w:r>
        <w:rPr>
          <w:rFonts w:ascii="Arial" w:cs="Arial" w:eastAsia="Arial" w:hAnsi="Arial"/>
          <w:sz w:val="19"/>
          <w:szCs w:val="19"/>
          <w:b w:val="1"/>
          <w:bCs w:val="1"/>
          <w:color w:val="auto"/>
        </w:rPr>
        <w:t>Page 2</w:t>
      </w:r>
    </w:p>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Remaining performance obligations </w:t>
      </w:r>
      <w:r>
        <w:rPr>
          <w:rFonts w:ascii="Arial" w:cs="Arial" w:eastAsia="Arial" w:hAnsi="Arial"/>
          <w:sz w:val="20"/>
          <w:szCs w:val="20"/>
          <w:color w:val="auto"/>
        </w:rPr>
        <w:t>(“RPOs”) as of June 30, 2025, were a record $11.91 billion, compared to $9.00 billion as</w:t>
      </w:r>
      <w:r>
        <w:rPr>
          <w:rFonts w:ascii="Arial" w:cs="Arial" w:eastAsia="Arial" w:hAnsi="Arial"/>
          <w:sz w:val="20"/>
          <w:szCs w:val="20"/>
          <w:b w:val="1"/>
          <w:bCs w:val="1"/>
          <w:color w:val="auto"/>
        </w:rPr>
        <w:t xml:space="preserve"> </w:t>
      </w:r>
      <w:r>
        <w:rPr>
          <w:rFonts w:ascii="Arial" w:cs="Arial" w:eastAsia="Arial" w:hAnsi="Arial"/>
          <w:sz w:val="20"/>
          <w:szCs w:val="20"/>
          <w:color w:val="auto"/>
        </w:rPr>
        <w:t>of June 30, 2024, an increase of $2.92 billion year-over-year. From a market sector perspective, the Company experienced increases in the majority of the sectors in which it operates, with the most significant growth coming from Network and Communications, Institutional, Manufacturing and Industrial, Healthcare, and Hospitality and Entertainment. These increases were partially offset by a reduction in RPOs within the High-Tech Manufacturing sector, due to progress made on certain construction projects.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Tony Guzzi, Chairman, President, and Chief Executive Officer of EMCOR, commented, “We had an outstanding second quarter, maintaining our momentum with quarterly revenue growth of 17.4% and an exceptional 9.6% operating margin. Once again, we set new records in key financial and operational metrics by executing well for our customers within the diverse sectors we serve. The demand for EMCOR's specialty contracting services remains robust. Our Remaining Performance Obligations are again at an all-time high, and our pipeline continues to be strong, supporting our positive outlook for the rest of the year and reinforcing our increase in financial guidance for the full-year 2025."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Six Months 2025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 xml:space="preserve">Revenues </w:t>
      </w:r>
      <w:r>
        <w:rPr>
          <w:rFonts w:ascii="Arial" w:cs="Arial" w:eastAsia="Arial" w:hAnsi="Arial"/>
          <w:sz w:val="20"/>
          <w:szCs w:val="20"/>
          <w:color w:val="auto"/>
        </w:rPr>
        <w:t>for the first six months of 2025 totaled $8.17 billion, an increase of 15.1%, compared to $7.10 billion for the first six</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months of 2024. </w:t>
      </w:r>
      <w:r>
        <w:rPr>
          <w:rFonts w:ascii="Arial" w:cs="Arial" w:eastAsia="Arial" w:hAnsi="Arial"/>
          <w:sz w:val="20"/>
          <w:szCs w:val="20"/>
          <w:b w:val="1"/>
          <w:bCs w:val="1"/>
          <w:color w:val="auto"/>
        </w:rPr>
        <w:t>Net income</w:t>
      </w:r>
      <w:r>
        <w:rPr>
          <w:rFonts w:ascii="Arial" w:cs="Arial" w:eastAsia="Arial" w:hAnsi="Arial"/>
          <w:sz w:val="20"/>
          <w:szCs w:val="20"/>
          <w:color w:val="auto"/>
        </w:rPr>
        <w:t xml:space="preserve"> for the first six months of 2025 was $542.8 million, or $11.96 per diluted share, compared to net income of $444.7 million, or $9.41 per diluted share, for the first six months of 2024. Net income for the first six months of 2025 included $9.4 million, or $6.9 million after taxes, of transaction related costs associated with the acquisition of Miller Electric Company (“Miller Electric”), which closed during the first quarter of 2025. Excluding these transaction costs, non-GAAP net income for the first six months of 2025 was $549.8 million, or $12.11 per diluted share.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Operating income </w:t>
      </w:r>
      <w:r>
        <w:rPr>
          <w:rFonts w:ascii="Arial" w:cs="Arial" w:eastAsia="Arial" w:hAnsi="Arial"/>
          <w:sz w:val="20"/>
          <w:szCs w:val="20"/>
          <w:color w:val="auto"/>
        </w:rPr>
        <w:t>for the first six months of 2025 was $734.0 million, or 9.0% of revenues, compared to operating income of</w:t>
      </w:r>
      <w:r>
        <w:rPr>
          <w:rFonts w:ascii="Arial" w:cs="Arial" w:eastAsia="Arial" w:hAnsi="Arial"/>
          <w:sz w:val="20"/>
          <w:szCs w:val="20"/>
          <w:b w:val="1"/>
          <w:bCs w:val="1"/>
          <w:color w:val="auto"/>
        </w:rPr>
        <w:t xml:space="preserve"> </w:t>
      </w:r>
      <w:r>
        <w:rPr>
          <w:rFonts w:ascii="Arial" w:cs="Arial" w:eastAsia="Arial" w:hAnsi="Arial"/>
          <w:sz w:val="20"/>
          <w:szCs w:val="20"/>
          <w:color w:val="auto"/>
        </w:rPr>
        <w:t>$592.8 million, or 8.3% of revenues, for the first six months of 2024. Excluding the previously referenced transaction costs associated with the Miller Electric transaction, non-GAAP operating income for the first six months of 2025 was $743.3 million, or 9.1% of revenues. Operating income included depreciation and amortization expense (inclusive of amortization of identifiable intangible assets) of $88.6 million and $63.8 million for the first six months of 2025 and 2024, respectively.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Refer to the attached tables for a reconciliation of non-GAAP operating income, non-GAAP operating margin, non-GAAP net income, and non-GAAP diluted earnings per share to the comparable GAAP measures.</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Selling, general and administrative expenses </w:t>
      </w:r>
      <w:r>
        <w:rPr>
          <w:rFonts w:ascii="Arial" w:cs="Arial" w:eastAsia="Arial" w:hAnsi="Arial"/>
          <w:sz w:val="20"/>
          <w:szCs w:val="20"/>
          <w:color w:val="auto"/>
        </w:rPr>
        <w:t>totaled $822.5 million, or 10.1% of revenues, for the first six months of 2025,</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to $680.5 million, or 9.6% of revenues, for the first six months of 2024.</w:t>
      </w:r>
    </w:p>
    <w:p>
      <w:pPr>
        <w:spacing w:after="0" w:line="19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The Company's </w:t>
      </w:r>
      <w:r>
        <w:rPr>
          <w:rFonts w:ascii="Arial" w:cs="Arial" w:eastAsia="Arial" w:hAnsi="Arial"/>
          <w:sz w:val="21"/>
          <w:szCs w:val="21"/>
          <w:b w:val="1"/>
          <w:bCs w:val="1"/>
          <w:color w:val="auto"/>
        </w:rPr>
        <w:t>income tax rate</w:t>
      </w:r>
      <w:r>
        <w:rPr>
          <w:rFonts w:ascii="Arial" w:cs="Arial" w:eastAsia="Arial" w:hAnsi="Arial"/>
          <w:sz w:val="20"/>
          <w:szCs w:val="20"/>
          <w:color w:val="auto"/>
        </w:rPr>
        <w:t xml:space="preserve"> for the first six months of 2025 was 26.3%, compared to 26.7% for the first six months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4" w:name="page5"/>
    <w:bookmarkEnd w:id="4"/>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60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60400"/>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Second Quarter 2025 Results</w:t>
      </w:r>
      <w:r>
        <w:rPr>
          <w:sz w:val="20"/>
          <w:szCs w:val="20"/>
          <w:color w:val="auto"/>
        </w:rPr>
        <w:tab/>
      </w:r>
      <w:r>
        <w:rPr>
          <w:rFonts w:ascii="Arial" w:cs="Arial" w:eastAsia="Arial" w:hAnsi="Arial"/>
          <w:sz w:val="19"/>
          <w:szCs w:val="19"/>
          <w:b w:val="1"/>
          <w:bCs w:val="1"/>
          <w:color w:val="auto"/>
        </w:rPr>
        <w:t>Page 3</w:t>
      </w:r>
    </w:p>
    <w:p>
      <w:pPr>
        <w:spacing w:after="0" w:line="339"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 xml:space="preserve">Mr. Guzzi continued, “We have concluded the first half of 2025 with year-over-year revenue growth of 15.1%, a 23.8% increase in operating income, and $11.91 billion in remaining performance obligations, demonstrating the strength of our business. Our </w:t>
      </w:r>
      <w:r>
        <w:rPr>
          <w:rFonts w:ascii="Arial" w:cs="Arial" w:eastAsia="Arial" w:hAnsi="Arial"/>
          <w:sz w:val="20"/>
          <w:szCs w:val="20"/>
          <w:b w:val="1"/>
          <w:bCs w:val="1"/>
          <w:color w:val="auto"/>
        </w:rPr>
        <w:t xml:space="preserve">Electrical </w:t>
      </w:r>
      <w:r>
        <w:rPr>
          <w:rFonts w:ascii="Arial" w:cs="Arial" w:eastAsia="Arial" w:hAnsi="Arial"/>
          <w:sz w:val="20"/>
          <w:szCs w:val="20"/>
          <w:color w:val="auto"/>
        </w:rPr>
        <w:t>and</w:t>
      </w:r>
      <w:r>
        <w:rPr>
          <w:rFonts w:ascii="Arial" w:cs="Arial" w:eastAsia="Arial" w:hAnsi="Arial"/>
          <w:sz w:val="20"/>
          <w:szCs w:val="20"/>
          <w:b w:val="1"/>
          <w:bCs w:val="1"/>
          <w:color w:val="auto"/>
        </w:rPr>
        <w:t xml:space="preserve"> Mechanical </w:t>
      </w:r>
      <w:r>
        <w:rPr>
          <w:rFonts w:ascii="Arial" w:cs="Arial" w:eastAsia="Arial" w:hAnsi="Arial"/>
          <w:sz w:val="20"/>
          <w:szCs w:val="20"/>
          <w:color w:val="auto"/>
        </w:rPr>
        <w:t>Construction segments continued to perform exceptionally well, driving our overall strong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performance. Our </w:t>
      </w:r>
      <w:r>
        <w:rPr>
          <w:rFonts w:ascii="Arial" w:cs="Arial" w:eastAsia="Arial" w:hAnsi="Arial"/>
          <w:sz w:val="20"/>
          <w:szCs w:val="20"/>
          <w:b w:val="1"/>
          <w:bCs w:val="1"/>
          <w:color w:val="auto"/>
        </w:rPr>
        <w:t>Electrical Construction</w:t>
      </w:r>
      <w:r>
        <w:rPr>
          <w:rFonts w:ascii="Arial" w:cs="Arial" w:eastAsia="Arial" w:hAnsi="Arial"/>
          <w:sz w:val="20"/>
          <w:szCs w:val="20"/>
          <w:color w:val="auto"/>
        </w:rPr>
        <w:t xml:space="preserve"> segment generated record revenues with quarterly growth of 67.5% and year-to-date growth of 55.2%, while achieving a record second quarter operating margin of 11.8% and an impressive 12.1% operating margin for the year-to-date period. Our </w:t>
      </w:r>
      <w:r>
        <w:rPr>
          <w:rFonts w:ascii="Arial" w:cs="Arial" w:eastAsia="Arial" w:hAnsi="Arial"/>
          <w:sz w:val="20"/>
          <w:szCs w:val="20"/>
          <w:b w:val="1"/>
          <w:bCs w:val="1"/>
          <w:color w:val="auto"/>
        </w:rPr>
        <w:t>Mechanical Construction</w:t>
      </w:r>
      <w:r>
        <w:rPr>
          <w:rFonts w:ascii="Arial" w:cs="Arial" w:eastAsia="Arial" w:hAnsi="Arial"/>
          <w:sz w:val="20"/>
          <w:szCs w:val="20"/>
          <w:color w:val="auto"/>
        </w:rPr>
        <w:t xml:space="preserve"> segment also generated record revenues along with record quarterly and year-to-date operating margins of 13.6% and 12.8%, respectively. Our performance is further supported by our strategic and proactive expansion into new regions, as well as improvements in productivity driven by virtual design construction technologies and prefabrication capabilities. Through our consistent excellence in labor planning, large project coordination, and the sharing of best practices, we continue to deliver outstanding results for our customers and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2025 Guidance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Based on anticipated project mix and near-term visibility, EMCOR currently expects the following for the full year 2025.</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860" w:type="dxa"/>
            <w:vAlign w:val="bottom"/>
            <w:tcBorders>
              <w:top w:val="single" w:sz="8" w:color="auto"/>
              <w:left w:val="single" w:sz="8" w:color="auto"/>
              <w:right w:val="single" w:sz="8" w:color="auto"/>
            </w:tcBorders>
          </w:tcPr>
          <w:p>
            <w:pPr>
              <w:spacing w:after="0"/>
              <w:rPr>
                <w:sz w:val="19"/>
                <w:szCs w:val="19"/>
                <w:color w:val="auto"/>
              </w:rPr>
            </w:pPr>
          </w:p>
        </w:tc>
        <w:tc>
          <w:tcPr>
            <w:tcW w:w="3940" w:type="dxa"/>
            <w:vAlign w:val="bottom"/>
            <w:tcBorders>
              <w:top w:val="single" w:sz="8" w:color="auto"/>
              <w:right w:val="single" w:sz="8" w:color="auto"/>
            </w:tcBorders>
            <w:gridSpan w:val="4"/>
          </w:tcPr>
          <w:p>
            <w:pPr>
              <w:ind w:left="800"/>
              <w:spacing w:after="0"/>
              <w:rPr>
                <w:sz w:val="20"/>
                <w:szCs w:val="20"/>
                <w:color w:val="auto"/>
              </w:rPr>
            </w:pPr>
            <w:r>
              <w:rPr>
                <w:rFonts w:ascii="Arial" w:cs="Arial" w:eastAsia="Arial" w:hAnsi="Arial"/>
                <w:sz w:val="20"/>
                <w:szCs w:val="20"/>
                <w:b w:val="1"/>
                <w:bCs w:val="1"/>
                <w:color w:val="auto"/>
              </w:rPr>
              <w:t xml:space="preserve">Current Guidance </w:t>
            </w:r>
            <w:r>
              <w:rPr>
                <w:rFonts w:ascii="Arial" w:cs="Arial" w:eastAsia="Arial" w:hAnsi="Arial"/>
                <w:sz w:val="14"/>
                <w:szCs w:val="14"/>
                <w:b w:val="1"/>
                <w:bCs w:val="1"/>
                <w:i w:val="1"/>
                <w:iCs w:val="1"/>
                <w:color w:val="auto"/>
              </w:rPr>
              <w:t>(7/31/25)</w:t>
            </w:r>
          </w:p>
        </w:tc>
        <w:tc>
          <w:tcPr>
            <w:tcW w:w="760" w:type="dxa"/>
            <w:vAlign w:val="bottom"/>
            <w:tcBorders>
              <w:top w:val="single" w:sz="8" w:color="auto"/>
            </w:tcBorders>
          </w:tcPr>
          <w:p>
            <w:pPr>
              <w:spacing w:after="0"/>
              <w:rPr>
                <w:sz w:val="19"/>
                <w:szCs w:val="19"/>
                <w:color w:val="auto"/>
              </w:rPr>
            </w:pPr>
          </w:p>
        </w:tc>
        <w:tc>
          <w:tcPr>
            <w:tcW w:w="3180" w:type="dxa"/>
            <w:vAlign w:val="bottom"/>
            <w:tcBorders>
              <w:top w:val="single" w:sz="8" w:color="auto"/>
              <w:right w:val="single" w:sz="8" w:color="auto"/>
            </w:tcBorders>
            <w:gridSpan w:val="3"/>
          </w:tcPr>
          <w:p>
            <w:pPr>
              <w:jc w:val="center"/>
              <w:ind w:right="760"/>
              <w:spacing w:after="0"/>
              <w:rPr>
                <w:sz w:val="20"/>
                <w:szCs w:val="20"/>
                <w:color w:val="auto"/>
              </w:rPr>
            </w:pPr>
            <w:r>
              <w:rPr>
                <w:rFonts w:ascii="Arial" w:cs="Arial" w:eastAsia="Arial" w:hAnsi="Arial"/>
                <w:sz w:val="20"/>
                <w:szCs w:val="20"/>
                <w:b w:val="1"/>
                <w:bCs w:val="1"/>
                <w:color w:val="auto"/>
                <w:w w:val="99"/>
              </w:rPr>
              <w:t xml:space="preserve">Previous Guidance </w:t>
            </w:r>
            <w:r>
              <w:rPr>
                <w:rFonts w:ascii="Arial" w:cs="Arial" w:eastAsia="Arial" w:hAnsi="Arial"/>
                <w:sz w:val="14"/>
                <w:szCs w:val="14"/>
                <w:b w:val="1"/>
                <w:bCs w:val="1"/>
                <w:i w:val="1"/>
                <w:iCs w:val="1"/>
                <w:color w:val="auto"/>
                <w:w w:val="99"/>
              </w:rPr>
              <w:t>(4/30/25)</w:t>
            </w:r>
          </w:p>
        </w:tc>
      </w:tr>
      <w:tr>
        <w:trPr>
          <w:trHeight w:val="61"/>
        </w:trPr>
        <w:tc>
          <w:tcPr>
            <w:tcW w:w="286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100" w:type="dxa"/>
            <w:vAlign w:val="bottom"/>
            <w:tcBorders>
              <w:top w:val="single" w:sz="8" w:color="auto"/>
              <w:bottom w:val="single" w:sz="8" w:color="auto"/>
            </w:tcBorders>
          </w:tcPr>
          <w:p>
            <w:pPr>
              <w:spacing w:after="0"/>
              <w:rPr>
                <w:sz w:val="5"/>
                <w:szCs w:val="5"/>
                <w:color w:val="auto"/>
              </w:rPr>
            </w:pPr>
          </w:p>
        </w:tc>
        <w:tc>
          <w:tcPr>
            <w:tcW w:w="1220" w:type="dxa"/>
            <w:vAlign w:val="bottom"/>
            <w:tcBorders>
              <w:top w:val="single" w:sz="8" w:color="auto"/>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40" w:type="dxa"/>
            <w:vAlign w:val="bottom"/>
            <w:tcBorders>
              <w:top w:val="single" w:sz="8" w:color="auto"/>
              <w:bottom w:val="single" w:sz="8" w:color="auto"/>
            </w:tcBorders>
          </w:tcPr>
          <w:p>
            <w:pPr>
              <w:spacing w:after="0"/>
              <w:rPr>
                <w:sz w:val="5"/>
                <w:szCs w:val="5"/>
                <w:color w:val="auto"/>
              </w:rPr>
            </w:pPr>
          </w:p>
        </w:tc>
        <w:tc>
          <w:tcPr>
            <w:tcW w:w="1280" w:type="dxa"/>
            <w:vAlign w:val="bottom"/>
            <w:tcBorders>
              <w:top w:val="single" w:sz="8" w:color="auto"/>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r>
      <w:tr>
        <w:trPr>
          <w:trHeight w:val="260"/>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Revenues</w:t>
            </w:r>
          </w:p>
        </w:tc>
        <w:tc>
          <w:tcPr>
            <w:tcW w:w="800" w:type="dxa"/>
            <w:vAlign w:val="bottom"/>
          </w:tcPr>
          <w:p>
            <w:pPr>
              <w:spacing w:after="0"/>
              <w:rPr>
                <w:sz w:val="22"/>
                <w:szCs w:val="22"/>
                <w:color w:val="auto"/>
              </w:rPr>
            </w:pPr>
          </w:p>
        </w:tc>
        <w:tc>
          <w:tcPr>
            <w:tcW w:w="31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$16.4 billion - $16.9 billion</w:t>
            </w:r>
          </w:p>
        </w:tc>
        <w:tc>
          <w:tcPr>
            <w:tcW w:w="760" w:type="dxa"/>
            <w:vAlign w:val="bottom"/>
          </w:tcPr>
          <w:p>
            <w:pPr>
              <w:spacing w:after="0"/>
              <w:rPr>
                <w:sz w:val="22"/>
                <w:szCs w:val="22"/>
                <w:color w:val="auto"/>
              </w:rPr>
            </w:pPr>
          </w:p>
        </w:tc>
        <w:tc>
          <w:tcPr>
            <w:tcW w:w="3180" w:type="dxa"/>
            <w:vAlign w:val="bottom"/>
            <w:tcBorders>
              <w:right w:val="single" w:sz="8" w:color="auto"/>
            </w:tcBorders>
            <w:gridSpan w:val="3"/>
          </w:tcPr>
          <w:p>
            <w:pPr>
              <w:jc w:val="center"/>
              <w:ind w:right="780"/>
              <w:spacing w:after="0"/>
              <w:rPr>
                <w:sz w:val="20"/>
                <w:szCs w:val="20"/>
                <w:color w:val="auto"/>
              </w:rPr>
            </w:pPr>
            <w:r>
              <w:rPr>
                <w:rFonts w:ascii="Arial" w:cs="Arial" w:eastAsia="Arial" w:hAnsi="Arial"/>
                <w:sz w:val="20"/>
                <w:szCs w:val="20"/>
                <w:color w:val="auto"/>
                <w:w w:val="98"/>
              </w:rPr>
              <w:t>$16.1 billion - $16.9 billion</w:t>
            </w:r>
          </w:p>
        </w:tc>
      </w:tr>
      <w:tr>
        <w:trPr>
          <w:trHeight w:val="31"/>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60"/>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Operating Margin</w:t>
            </w: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9.0%</w:t>
            </w:r>
          </w:p>
        </w:tc>
        <w:tc>
          <w:tcPr>
            <w:tcW w:w="1220" w:type="dxa"/>
            <w:vAlign w:val="bottom"/>
          </w:tcPr>
          <w:p>
            <w:pPr>
              <w:ind w:left="20"/>
              <w:spacing w:after="0"/>
              <w:rPr>
                <w:sz w:val="20"/>
                <w:szCs w:val="20"/>
                <w:color w:val="auto"/>
              </w:rPr>
            </w:pPr>
            <w:r>
              <w:rPr>
                <w:rFonts w:ascii="Arial" w:cs="Arial" w:eastAsia="Arial" w:hAnsi="Arial"/>
                <w:sz w:val="20"/>
                <w:szCs w:val="20"/>
                <w:color w:val="auto"/>
              </w:rPr>
              <w:t>- 9.4%</w:t>
            </w:r>
          </w:p>
        </w:tc>
        <w:tc>
          <w:tcPr>
            <w:tcW w:w="820" w:type="dxa"/>
            <w:vAlign w:val="bottom"/>
            <w:tcBorders>
              <w:right w:val="single" w:sz="8" w:color="auto"/>
            </w:tcBorders>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8.5%</w:t>
            </w:r>
          </w:p>
        </w:tc>
        <w:tc>
          <w:tcPr>
            <w:tcW w:w="1280" w:type="dxa"/>
            <w:vAlign w:val="bottom"/>
          </w:tcPr>
          <w:p>
            <w:pPr>
              <w:ind w:left="20"/>
              <w:spacing w:after="0"/>
              <w:rPr>
                <w:sz w:val="20"/>
                <w:szCs w:val="20"/>
                <w:color w:val="auto"/>
              </w:rPr>
            </w:pPr>
            <w:r>
              <w:rPr>
                <w:rFonts w:ascii="Arial" w:cs="Arial" w:eastAsia="Arial" w:hAnsi="Arial"/>
                <w:sz w:val="20"/>
                <w:szCs w:val="20"/>
                <w:color w:val="auto"/>
              </w:rPr>
              <w:t>- 9.2%</w:t>
            </w:r>
          </w:p>
        </w:tc>
        <w:tc>
          <w:tcPr>
            <w:tcW w:w="760" w:type="dxa"/>
            <w:vAlign w:val="bottom"/>
            <w:tcBorders>
              <w:right w:val="single" w:sz="8" w:color="auto"/>
            </w:tcBorders>
          </w:tcPr>
          <w:p>
            <w:pPr>
              <w:spacing w:after="0"/>
              <w:rPr>
                <w:sz w:val="22"/>
                <w:szCs w:val="22"/>
                <w:color w:val="auto"/>
              </w:rPr>
            </w:pPr>
          </w:p>
        </w:tc>
      </w:tr>
      <w:tr>
        <w:trPr>
          <w:trHeight w:val="30"/>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r>
        <w:trPr>
          <w:trHeight w:val="260"/>
        </w:trPr>
        <w:tc>
          <w:tcPr>
            <w:tcW w:w="2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Non-GAAP Diluted EPS*</w:t>
            </w: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$24.50</w:t>
            </w:r>
          </w:p>
        </w:tc>
        <w:tc>
          <w:tcPr>
            <w:tcW w:w="1220" w:type="dxa"/>
            <w:vAlign w:val="bottom"/>
          </w:tcPr>
          <w:p>
            <w:pPr>
              <w:ind w:left="20"/>
              <w:spacing w:after="0"/>
              <w:rPr>
                <w:sz w:val="20"/>
                <w:szCs w:val="20"/>
                <w:color w:val="auto"/>
              </w:rPr>
            </w:pPr>
            <w:r>
              <w:rPr>
                <w:rFonts w:ascii="Arial" w:cs="Arial" w:eastAsia="Arial" w:hAnsi="Arial"/>
                <w:sz w:val="20"/>
                <w:szCs w:val="20"/>
                <w:color w:val="auto"/>
              </w:rPr>
              <w:t>- $25.75</w:t>
            </w:r>
          </w:p>
        </w:tc>
        <w:tc>
          <w:tcPr>
            <w:tcW w:w="820" w:type="dxa"/>
            <w:vAlign w:val="bottom"/>
            <w:tcBorders>
              <w:right w:val="single" w:sz="8" w:color="auto"/>
            </w:tcBorders>
          </w:tcPr>
          <w:p>
            <w:pPr>
              <w:spacing w:after="0"/>
              <w:rPr>
                <w:sz w:val="22"/>
                <w:szCs w:val="22"/>
                <w:color w:val="auto"/>
              </w:rPr>
            </w:pP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$22.65</w:t>
            </w:r>
          </w:p>
        </w:tc>
        <w:tc>
          <w:tcPr>
            <w:tcW w:w="1280" w:type="dxa"/>
            <w:vAlign w:val="bottom"/>
          </w:tcPr>
          <w:p>
            <w:pPr>
              <w:ind w:left="20"/>
              <w:spacing w:after="0"/>
              <w:rPr>
                <w:sz w:val="20"/>
                <w:szCs w:val="20"/>
                <w:color w:val="auto"/>
              </w:rPr>
            </w:pPr>
            <w:r>
              <w:rPr>
                <w:rFonts w:ascii="Arial" w:cs="Arial" w:eastAsia="Arial" w:hAnsi="Arial"/>
                <w:sz w:val="20"/>
                <w:szCs w:val="20"/>
                <w:color w:val="auto"/>
              </w:rPr>
              <w:t>- $24.00</w:t>
            </w:r>
          </w:p>
        </w:tc>
        <w:tc>
          <w:tcPr>
            <w:tcW w:w="760" w:type="dxa"/>
            <w:vAlign w:val="bottom"/>
            <w:tcBorders>
              <w:right w:val="single" w:sz="8" w:color="auto"/>
            </w:tcBorders>
          </w:tcPr>
          <w:p>
            <w:pPr>
              <w:spacing w:after="0"/>
              <w:rPr>
                <w:sz w:val="22"/>
                <w:szCs w:val="22"/>
                <w:color w:val="auto"/>
              </w:rPr>
            </w:pPr>
          </w:p>
        </w:tc>
      </w:tr>
      <w:tr>
        <w:trPr>
          <w:trHeight w:val="30"/>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Excludes acquisition related transaction costs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2025 Earnings Conference Call Information</w:t>
      </w:r>
    </w:p>
    <w:p>
      <w:pPr>
        <w:spacing w:after="0" w:line="258"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EMCOR Group's second quarter conference call will be broadcast live via the internet today, Thursday, July 31, at 10:30 AM Eastern Daylight Time and can be accessed through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EMCOR</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 xml:space="preserve">EMCOR Group, Inc. is a Fortune 500 leader in mechanical and electrical construction services, industrial and energy infrastructure and building services. This press release and other press releases may be viewed at the Company’s website at </w:t>
      </w:r>
      <w:r>
        <w:rPr>
          <w:rFonts w:ascii="Arial" w:cs="Arial" w:eastAsia="Arial" w:hAnsi="Arial"/>
          <w:sz w:val="20"/>
          <w:szCs w:val="20"/>
          <w:u w:val="single" w:color="auto"/>
          <w:color w:val="0000FF"/>
        </w:rPr>
        <w:t>www.emcorgroup.com</w:t>
      </w:r>
      <w:r>
        <w:rPr>
          <w:rFonts w:ascii="Arial" w:cs="Arial" w:eastAsia="Arial" w:hAnsi="Arial"/>
          <w:sz w:val="20"/>
          <w:szCs w:val="20"/>
          <w:color w:val="000000"/>
        </w:rPr>
        <w:t>. EMCOR routinely posts information that may be important to investors in the “Investor Relations” section</w:t>
      </w:r>
      <w:r>
        <w:rPr>
          <w:rFonts w:ascii="Arial" w:cs="Arial" w:eastAsia="Arial" w:hAnsi="Arial"/>
          <w:sz w:val="20"/>
          <w:szCs w:val="20"/>
          <w:color w:val="0000FF"/>
        </w:rPr>
        <w:t xml:space="preserve"> </w:t>
      </w:r>
      <w:r>
        <w:rPr>
          <w:rFonts w:ascii="Arial" w:cs="Arial" w:eastAsia="Arial" w:hAnsi="Arial"/>
          <w:sz w:val="20"/>
          <w:szCs w:val="20"/>
          <w:color w:val="000000"/>
        </w:rPr>
        <w:t xml:space="preserve">of our website at </w:t>
      </w:r>
      <w:r>
        <w:rPr>
          <w:rFonts w:ascii="Arial" w:cs="Arial" w:eastAsia="Arial" w:hAnsi="Arial"/>
          <w:sz w:val="20"/>
          <w:szCs w:val="20"/>
          <w:u w:val="single" w:color="auto"/>
          <w:color w:val="0000FF"/>
        </w:rPr>
        <w:t>www.emcorgroup.com</w:t>
      </w:r>
      <w:r>
        <w:rPr>
          <w:rFonts w:ascii="Arial" w:cs="Arial" w:eastAsia="Arial" w:hAnsi="Arial"/>
          <w:sz w:val="20"/>
          <w:szCs w:val="20"/>
          <w:color w:val="000000"/>
        </w:rPr>
        <w:t>. Investors and potential investors are encouraged to consult the EMCOR website regularly for important information about EMCOR.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5" w:name="page6"/>
    <w:bookmarkEnd w:id="5"/>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ind w:left="80"/>
        <w:spacing w:after="0"/>
        <w:tabs>
          <w:tab w:leader="none" w:pos="10560" w:val="left"/>
        </w:tabs>
        <w:rPr>
          <w:sz w:val="20"/>
          <w:szCs w:val="20"/>
          <w:color w:val="auto"/>
        </w:rPr>
      </w:pPr>
      <w:r>
        <w:rPr>
          <w:rFonts w:ascii="Arial" w:cs="Arial" w:eastAsia="Arial" w:hAnsi="Arial"/>
          <w:sz w:val="20"/>
          <w:szCs w:val="20"/>
          <w:b w:val="1"/>
          <w:bCs w:val="1"/>
          <w:color w:val="auto"/>
        </w:rPr>
        <w:t>EMCOR Reports Second Quarter 2025 Results</w:t>
      </w:r>
      <w:r>
        <w:rPr>
          <w:sz w:val="20"/>
          <w:szCs w:val="20"/>
          <w:color w:val="auto"/>
        </w:rPr>
        <w:tab/>
      </w:r>
      <w:r>
        <w:rPr>
          <w:rFonts w:ascii="Arial" w:cs="Arial" w:eastAsia="Arial" w:hAnsi="Arial"/>
          <w:sz w:val="19"/>
          <w:szCs w:val="19"/>
          <w:b w:val="1"/>
          <w:bCs w:val="1"/>
          <w:color w:val="auto"/>
        </w:rPr>
        <w:t>Page 4</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 Looking Statements: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This release and related presentation contain forward-looking statements. Such statements speak only as of July 31, 2025, and EMCOR assumes no obligation to update any such forward-looking statements, unless required by law. These forward-looking statements include statements regarding anticipated future operating and financial performance; financial guidance and projections underlying that guidance; the nature and impact of our remaining performance obligations; the timing of future projects; our ability to support organic growth and balanced capital allocation; the financial impact of acquisitions, including the acquisition of Miller Electric Company; market opportunities and growth prospects; customer trends; and project mix. These forward-looking statements involve risks and uncertainties that could cause actual results to differ materially from those anticipated (whether expressly or implied) by the forward-looking statements. Accordingly, these statements do not guarantee future performance or events. Applicable risks and uncertainties include, but are not limited to, adverse effects of general economic conditions; domestic and international political developments and/or conflicts; changes in the specific markets for EMCOR’s services; weakness of the sectors from which we generate revenues; adverse business conditions; scarcity of skilled labor; productivity challenges; the nature and extent of supply chain disruptions impacting availability and pricing of materials; inflationary trends, including fluctuations in energy costs; the impact of legislation and/or government regulations; changes in interest rates; changes in foreign trade policy including the effect of tariffs; the lack of availability of adequate levels of surety bonding; increased competition; the impact of legal proceedings, claims, lawsuits, or governmental investigations; and unfavorable developments in the mix of our business. Certain of the risk factors associated with EMCOR’s business are also discussed in Part I, Item 1A “Risk Factors,” of the Company’s 2024 Form 10-K, and in other reports filed from time to time with the Securities and Exchange Commission and available at </w:t>
      </w:r>
      <w:r>
        <w:rPr>
          <w:rFonts w:ascii="Arial" w:cs="Arial" w:eastAsia="Arial" w:hAnsi="Arial"/>
          <w:sz w:val="16"/>
          <w:szCs w:val="16"/>
          <w:i w:val="1"/>
          <w:iCs w:val="1"/>
          <w:color w:val="0000FF"/>
        </w:rPr>
        <w:t>www.sec.gov</w:t>
      </w:r>
      <w:r>
        <w:rPr>
          <w:rFonts w:ascii="Arial" w:cs="Arial" w:eastAsia="Arial" w:hAnsi="Arial"/>
          <w:sz w:val="16"/>
          <w:szCs w:val="16"/>
          <w:i w:val="1"/>
          <w:iCs w:val="1"/>
          <w:color w:val="auto"/>
        </w:rPr>
        <w:t xml:space="preserve"> and </w:t>
      </w:r>
      <w:r>
        <w:rPr>
          <w:rFonts w:ascii="Arial" w:cs="Arial" w:eastAsia="Arial" w:hAnsi="Arial"/>
          <w:sz w:val="16"/>
          <w:szCs w:val="16"/>
          <w:i w:val="1"/>
          <w:iCs w:val="1"/>
          <w:color w:val="0000FF"/>
        </w:rPr>
        <w:t>www.emcorgroup.com</w:t>
      </w:r>
      <w:r>
        <w:rPr>
          <w:rFonts w:ascii="Arial" w:cs="Arial" w:eastAsia="Arial" w:hAnsi="Arial"/>
          <w:sz w:val="16"/>
          <w:szCs w:val="16"/>
          <w:i w:val="1"/>
          <w:iCs w:val="1"/>
          <w:color w:val="auto"/>
        </w:rPr>
        <w:t>. Such risk factors should be taken into account in evaluating our business, including any forward-looking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Measures: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This release and related presentation also include certain financial measures that were not prepared in accordance with U.S. generally accepted accounting principles (GAAP). Reconciliations of those non-GAAP financial measures to the most directly comparable GAAP financial measures are included in this release. The Company uses these non-GAAP measures as key performance indicators for the purpose of evaluating performance internally. We also believe that these non-GAAP measures provide investors with useful information with respect to our ongoing operations. Any non-GAAP financial measures presented are not, and should not be viewed as, substitutes for financial measures required by GAAP, have no standardized meaning prescribed by GAAP, and may not be comparable to the calculation of similar measures of other companies.</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In addition, forecast non-GAAP diluted earnings per share for full-year 2025 is a forward-looking non-GAAP financial measure. The Company does not provide a reconciliation of forward-looking non-GAAP financial measures to the most directly comparable financial measures calculated and presented in accordance with GAAP on a forward-looking basis because such reconciliations are not accessible without unreasonable effort, due to the uncertainty and inherent difficulty of predicting the occurrence and the financial impact of adjustments such as acquisition related transaction costs that impact comparability and the periods in which such items may be recognized.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240"/>
          </w:cols>
          <w:pgMar w:left="320" w:top="1440" w:right="339" w:bottom="1440" w:gutter="0" w:footer="0" w:header="0"/>
        </w:sectPr>
      </w:pPr>
    </w:p>
    <w:bookmarkStart w:id="6" w:name="page7"/>
    <w:bookmarkEnd w:id="6"/>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HIGHLIGHTS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For the quarters ended</w:t>
            </w:r>
          </w:p>
        </w:tc>
        <w:tc>
          <w:tcPr>
            <w:tcW w:w="280" w:type="dxa"/>
            <w:vAlign w:val="bottom"/>
          </w:tcPr>
          <w:p>
            <w:pPr>
              <w:spacing w:after="0"/>
              <w:rPr>
                <w:sz w:val="16"/>
                <w:szCs w:val="16"/>
                <w:color w:val="auto"/>
              </w:rPr>
            </w:pPr>
          </w:p>
        </w:tc>
        <w:tc>
          <w:tcPr>
            <w:tcW w:w="26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For the six months ended</w:t>
            </w:r>
          </w:p>
        </w:tc>
      </w:tr>
      <w:tr>
        <w:trPr>
          <w:trHeight w:val="216"/>
        </w:trPr>
        <w:tc>
          <w:tcPr>
            <w:tcW w:w="5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8,171,772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7,099,173</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3,470,629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2,982,896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6,615,283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5,825,863</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684,001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1,556,489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1,273,310</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351,193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822,521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680,549</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733,968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592,761</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13,647</w:t>
            </w: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412,027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339,135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736,224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606,851</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91,563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193,387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162,130</w:t>
            </w: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302,160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247,572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542,837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444,721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44,833,638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46,972,032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45,227,690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47,053,768</w:t>
            </w: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44,990,388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47,159,660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45,380,744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47,236,738</w:t>
            </w:r>
          </w:p>
        </w:tc>
      </w:tr>
      <w:tr>
        <w:trPr>
          <w:trHeight w:val="257"/>
        </w:trPr>
        <w:tc>
          <w:tcPr>
            <w:tcW w:w="5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color w:val="auto"/>
              </w:rPr>
              <w:t>Dividends declared per common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440" w:right="359" w:bottom="1440" w:gutter="0" w:footer="0" w:header="0"/>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6"/>
                <w:szCs w:val="16"/>
                <w:color w:val="auto"/>
              </w:rPr>
            </w:pPr>
          </w:p>
        </w:tc>
        <w:tc>
          <w:tcPr>
            <w:tcW w:w="14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280"/>
              <w:spacing w:after="0" w:line="162" w:lineRule="exact"/>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485,988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1,339,550</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4,114,857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3,577,537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284,791</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108,157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95,667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119,596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5,176,646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5,389,189</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207,489</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392,987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316,128</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1,018,415</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Identifiable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648,180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137,072</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8,400,480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7,716,473</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1,117,733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937,087</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2,133,872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2,047,540</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751,434</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Other accrued expenses and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326,648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336,555</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81,247</w:t>
            </w:r>
          </w:p>
        </w:tc>
        <w:tc>
          <w:tcPr>
            <w:tcW w:w="0" w:type="dxa"/>
            <w:vAlign w:val="bottom"/>
          </w:tcPr>
          <w:p>
            <w:pPr>
              <w:spacing w:after="0"/>
              <w:rPr>
                <w:sz w:val="1"/>
                <w:szCs w:val="1"/>
                <w:color w:val="auto"/>
              </w:rPr>
            </w:pP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4,394,538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4,153,863</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 under revolving credit facility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Operating lease liabilities, long-term</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328,150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261,575</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obligations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362,341</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5,346,908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4,777,779</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Total EMCOR Group, Inc. stockholders’ equity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3,051,601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2,937,657</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3,053,572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2,938,694</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7,716,473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20" w:top="1440" w:right="379" w:bottom="1440" w:gutter="0" w:footer="0" w:header="0"/>
        </w:sectPr>
      </w:pPr>
    </w:p>
    <w:bookmarkStart w:id="8" w:name="page9"/>
    <w:bookmarkEnd w:id="8"/>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Six Months Ended June 30, 2025 and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08"/>
        </w:trPr>
        <w:tc>
          <w:tcPr>
            <w:tcW w:w="8000" w:type="dxa"/>
            <w:vAlign w:val="bottom"/>
          </w:tcPr>
          <w:p>
            <w:pPr>
              <w:ind w:left="20"/>
              <w:spacing w:after="0"/>
              <w:rPr>
                <w:sz w:val="20"/>
                <w:szCs w:val="20"/>
                <w:color w:val="auto"/>
              </w:rPr>
            </w:pPr>
            <w:r>
              <w:rPr>
                <w:rFonts w:ascii="Arial" w:cs="Arial" w:eastAsia="Arial" w:hAnsi="Arial"/>
                <w:sz w:val="16"/>
                <w:szCs w:val="16"/>
                <w:color w:val="auto"/>
              </w:rPr>
              <w:t>Cash flows -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444,721</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27,408</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56,452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36,412</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12,251</w:t>
            </w:r>
          </w:p>
        </w:tc>
      </w:tr>
      <w:tr>
        <w:trPr>
          <w:trHeight w:val="215"/>
        </w:trPr>
        <w:tc>
          <w:tcPr>
            <w:tcW w:w="8000" w:type="dxa"/>
            <w:vAlign w:val="bottom"/>
          </w:tcPr>
          <w:p>
            <w:pPr>
              <w:ind w:left="220"/>
              <w:spacing w:after="0"/>
              <w:rPr>
                <w:sz w:val="20"/>
                <w:szCs w:val="20"/>
                <w:color w:val="auto"/>
              </w:rPr>
            </w:pPr>
            <w:r>
              <w:rPr>
                <w:rFonts w:ascii="Arial" w:cs="Arial" w:eastAsia="Arial" w:hAnsi="Arial"/>
                <w:sz w:val="16"/>
                <w:szCs w:val="16"/>
                <w:color w:val="auto"/>
              </w:rPr>
              <w:t>Non-cash share-based compensation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11,371</w:t>
            </w:r>
          </w:p>
        </w:tc>
      </w:tr>
      <w:tr>
        <w:trPr>
          <w:trHeight w:val="217"/>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reconciling items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w:t>
            </w:r>
          </w:p>
        </w:tc>
      </w:tr>
      <w:tr>
        <w:trPr>
          <w:trHeight w:val="21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operating assets and liabilities, excluding the effect of businesses acquired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(346,949)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(114,965)</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302,158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411,958</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Cash flows -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acquisitions of businesses, net of cash acquired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(887,237)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(173,265)</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sale or disposal of property, plant, and equipment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(39,529)</w:t>
            </w:r>
          </w:p>
        </w:tc>
      </w:tr>
      <w:tr>
        <w:trPr>
          <w:trHeight w:val="20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(938,825)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(211,139)</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Proceeds from revolving credit facility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revolving credit facility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Repayments of finance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(1,393)</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stockholders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(20,219)</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Repurchases of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(149,009)</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paid related to net share settlements of equity awards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w:t>
            </w:r>
          </w:p>
        </w:tc>
      </w:tr>
      <w:tr>
        <w:trPr>
          <w:trHeight w:val="215"/>
        </w:trPr>
        <w:tc>
          <w:tcPr>
            <w:tcW w:w="8000" w:type="dxa"/>
            <w:vAlign w:val="bottom"/>
          </w:tcPr>
          <w:p>
            <w:pPr>
              <w:ind w:left="20"/>
              <w:spacing w:after="0"/>
              <w:rPr>
                <w:sz w:val="20"/>
                <w:szCs w:val="20"/>
                <w:color w:val="auto"/>
              </w:rPr>
            </w:pPr>
            <w:r>
              <w:rPr>
                <w:rFonts w:ascii="Arial" w:cs="Arial" w:eastAsia="Arial" w:hAnsi="Arial"/>
                <w:sz w:val="16"/>
                <w:szCs w:val="16"/>
                <w:color w:val="auto"/>
              </w:rPr>
              <w:t>Issuances of common stock under employee stock purchase plan</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943</w:t>
            </w:r>
          </w:p>
        </w:tc>
      </w:tr>
      <w:tr>
        <w:trPr>
          <w:trHeight w:val="217"/>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contingent consideration arrangements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(181,444)</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(853,234)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18,448</w:t>
            </w:r>
          </w:p>
        </w:tc>
      </w:tr>
      <w:tr>
        <w:trPr>
          <w:trHeight w:val="216"/>
        </w:trPr>
        <w:tc>
          <w:tcPr>
            <w:tcW w:w="80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Cash, cash equivalents, and restricted cash at beginning of year </w:t>
            </w:r>
            <w:r>
              <w:rPr>
                <w:rFonts w:ascii="Arial" w:cs="Arial" w:eastAsia="Arial" w:hAnsi="Arial"/>
                <w:sz w:val="21"/>
                <w:szCs w:val="21"/>
                <w:b w:val="1"/>
                <w:bCs w:val="1"/>
                <w:color w:val="auto"/>
                <w:vertAlign w:val="superscript"/>
              </w:rPr>
              <w:t>(1)</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1,340,395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789,750</w:t>
            </w:r>
          </w:p>
        </w:tc>
      </w:tr>
      <w:tr>
        <w:trPr>
          <w:trHeight w:val="210"/>
        </w:trPr>
        <w:tc>
          <w:tcPr>
            <w:tcW w:w="8000" w:type="dxa"/>
            <w:vAlign w:val="bottom"/>
          </w:tcPr>
          <w:p>
            <w:pPr>
              <w:ind w:left="20"/>
              <w:spacing w:after="0" w:line="210" w:lineRule="exact"/>
              <w:rPr>
                <w:sz w:val="20"/>
                <w:szCs w:val="20"/>
                <w:color w:val="auto"/>
              </w:rPr>
            </w:pPr>
            <w:r>
              <w:rPr>
                <w:rFonts w:ascii="Arial" w:cs="Arial" w:eastAsia="Arial" w:hAnsi="Arial"/>
                <w:sz w:val="16"/>
                <w:szCs w:val="16"/>
                <w:b w:val="1"/>
                <w:bCs w:val="1"/>
                <w:color w:val="auto"/>
              </w:rPr>
              <w:t xml:space="preserve">Cash, cash equivalents, and restricted cash at end of period </w:t>
            </w:r>
            <w:r>
              <w:rPr>
                <w:rFonts w:ascii="Arial" w:cs="Arial" w:eastAsia="Arial" w:hAnsi="Arial"/>
                <w:sz w:val="21"/>
                <w:szCs w:val="21"/>
                <w:b w:val="1"/>
                <w:bCs w:val="1"/>
                <w:color w:val="auto"/>
                <w:vertAlign w:val="superscript"/>
              </w:rPr>
              <w:t>(2)</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808,198</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w:t>
      </w:r>
    </w:p>
    <w:p>
      <w:pPr>
        <w:spacing w:after="0" w:line="98"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$0.8 million of restricted cash classified as “Prepaid expenses and other” in the Consolidated Balance Sheet as of December 31, 2024.</w:t>
      </w:r>
    </w:p>
    <w:p>
      <w:pPr>
        <w:spacing w:after="0" w:line="59" w:lineRule="exact"/>
        <w:rPr>
          <w:rFonts w:ascii="Arial" w:cs="Arial" w:eastAsia="Arial" w:hAnsi="Arial"/>
          <w:sz w:val="16"/>
          <w:szCs w:val="16"/>
          <w:color w:val="auto"/>
        </w:rPr>
      </w:pPr>
    </w:p>
    <w:p>
      <w:pPr>
        <w:ind w:left="420" w:hanging="412"/>
        <w:spacing w:after="0" w:line="286" w:lineRule="auto"/>
        <w:tabs>
          <w:tab w:leader="none" w:pos="415"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$1.2 million and $0.9 million of restricted cash classified as “Prepaid expenses and other” in the Consolidated Balance Sheet as of June 30, 2025 and 2024, respectively.</w:t>
      </w:r>
    </w:p>
    <w:p>
      <w:pPr>
        <w:sectPr>
          <w:pgSz w:w="11900" w:h="16838" w:orient="portrait"/>
          <w:cols w:equalWidth="0" w:num="1">
            <w:col w:w="11240"/>
          </w:cols>
          <w:pgMar w:left="320" w:top="1440" w:right="339" w:bottom="1440" w:gutter="0" w:footer="0" w:header="0"/>
        </w:sectPr>
      </w:pPr>
    </w:p>
    <w:bookmarkStart w:id="9" w:name="page10"/>
    <w:bookmarkEnd w:id="9"/>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For the quarters ended June 30,</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3"/>
                <w:szCs w:val="13"/>
                <w:color w:val="auto"/>
              </w:rPr>
            </w:pPr>
          </w:p>
        </w:tc>
        <w:tc>
          <w:tcPr>
            <w:tcW w:w="1280" w:type="dxa"/>
            <w:vAlign w:val="bottom"/>
            <w:gridSpan w:val="2"/>
          </w:tcPr>
          <w:p>
            <w:pPr>
              <w:ind w:left="400"/>
              <w:spacing w:after="0" w:line="155" w:lineRule="exact"/>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1,340,247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799,994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1,755,258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1,655,181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793,259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281,072</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324,047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4,169,836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3,560,330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134,564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4,304,400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3,666,897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3"/>
                <w:szCs w:val="13"/>
                <w:color w:val="auto"/>
              </w:rPr>
            </w:pPr>
          </w:p>
        </w:tc>
        <w:tc>
          <w:tcPr>
            <w:tcW w:w="1280" w:type="dxa"/>
            <w:vAlign w:val="bottom"/>
            <w:gridSpan w:val="2"/>
          </w:tcPr>
          <w:p>
            <w:pPr>
              <w:ind w:left="400"/>
              <w:spacing w:after="0" w:line="155" w:lineRule="exact"/>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Revenues from unrelated entities: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2,428,091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1,564,705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3,327,860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3,082,846</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17"/>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1,535,882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1,562,268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640,074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678,100</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7,931,907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6,887,919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5"/>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239,865</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211,254</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8,171,772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7,099,173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For the quarters ended June 30,</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rPr>
              <w:t>% of Segment</w:t>
            </w:r>
          </w:p>
        </w:tc>
        <w:tc>
          <w:tcPr>
            <w:tcW w:w="28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238,737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213,440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United States industrial services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12,746</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8,425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5,777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(39,220)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Consolidated 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415,212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332,808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income, net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412,027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339,135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rPr>
              <w:t>% of Segment</w:t>
            </w:r>
          </w:p>
        </w:tc>
        <w:tc>
          <w:tcPr>
            <w:tcW w:w="300" w:type="dxa"/>
            <w:vAlign w:val="bottom"/>
          </w:tcPr>
          <w:p>
            <w:pPr>
              <w:spacing w:after="0"/>
              <w:rPr>
                <w:sz w:val="13"/>
                <w:szCs w:val="13"/>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 of Segment</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Revenues</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electrical construction and facilities services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293,701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180,166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States mechanical construction and facilities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425,484</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364,160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building services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86,468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80,298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States industrial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6,341</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30,712</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United States operations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811,994</w:t>
            </w:r>
          </w:p>
        </w:tc>
        <w:tc>
          <w:tcPr>
            <w:tcW w:w="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655,336</w:t>
            </w:r>
          </w:p>
        </w:tc>
        <w:tc>
          <w:tcPr>
            <w:tcW w:w="12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United Kingdom building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13,412</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11,154</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administration</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(91,438)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80" w:type="dxa"/>
            <w:vAlign w:val="bottom"/>
          </w:tcPr>
          <w:p>
            <w:pPr>
              <w:ind w:left="20"/>
              <w:spacing w:after="0"/>
              <w:rPr>
                <w:sz w:val="20"/>
                <w:szCs w:val="20"/>
                <w:color w:val="auto"/>
              </w:rPr>
            </w:pPr>
            <w:r>
              <w:rPr>
                <w:rFonts w:ascii="Arial" w:cs="Arial" w:eastAsia="Arial" w:hAnsi="Arial"/>
                <w:sz w:val="16"/>
                <w:szCs w:val="16"/>
                <w:color w:val="auto"/>
              </w:rPr>
              <w:t>Consolidated operating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733,968</w:t>
            </w:r>
          </w:p>
        </w:tc>
        <w:tc>
          <w:tcPr>
            <w:tcW w:w="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592,761</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217"/>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items: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Net periodic pension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13,647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736,224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606,851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ORGANIC REVENUE GROWTH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for percentages) (Unaudited)</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provides a reconciliation between organic revenue growth, a non-GAAP measure, and total revenue growth for the quarter and six months ended June 30, 2025.</w:t>
      </w: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gridSpan w:val="4"/>
          </w:tcPr>
          <w:p>
            <w:pPr>
              <w:ind w:left="280"/>
              <w:spacing w:after="0"/>
              <w:rPr>
                <w:sz w:val="20"/>
                <w:szCs w:val="20"/>
                <w:color w:val="auto"/>
              </w:rPr>
            </w:pPr>
            <w:r>
              <w:rPr>
                <w:rFonts w:ascii="Arial" w:cs="Arial" w:eastAsia="Arial" w:hAnsi="Arial"/>
                <w:sz w:val="16"/>
                <w:szCs w:val="16"/>
                <w:b w:val="1"/>
                <w:bCs w:val="1"/>
                <w:color w:val="auto"/>
              </w:rPr>
              <w:t>For the quarter ended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For the six months ended</w:t>
            </w:r>
          </w:p>
        </w:tc>
      </w:tr>
      <w:tr>
        <w:trPr>
          <w:trHeight w:val="216"/>
        </w:trPr>
        <w:tc>
          <w:tcPr>
            <w:tcW w:w="5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June 30, 2025</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6"/>
                <w:szCs w:val="16"/>
                <w:b w:val="1"/>
                <w:bCs w:val="1"/>
                <w:color w:val="auto"/>
                <w:w w:val="99"/>
              </w:rPr>
              <w:t>June 30, 2025</w:t>
            </w:r>
          </w:p>
        </w:tc>
        <w:tc>
          <w:tcPr>
            <w:tcW w:w="900" w:type="dxa"/>
            <w:vAlign w:val="bottom"/>
            <w:tcBorders>
              <w:bottom w:val="single" w:sz="8" w:color="auto"/>
            </w:tcBorders>
          </w:tcPr>
          <w:p>
            <w:pPr>
              <w:spacing w:after="0"/>
              <w:rPr>
                <w:sz w:val="18"/>
                <w:szCs w:val="18"/>
                <w:color w:val="auto"/>
              </w:rPr>
            </w:pPr>
          </w:p>
        </w:tc>
      </w:tr>
      <w:tr>
        <w:trPr>
          <w:trHeight w:val="210"/>
        </w:trPr>
        <w:tc>
          <w:tcPr>
            <w:tcW w:w="5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revenue growth</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637,503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1,072,599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Incremental revenues from acquisitions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(330,329)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(581,229)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3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Organic revenue growth, a non-GAAP measure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307,174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491,370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1630" cy="659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11630" cy="6597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EMCOR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OTHER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percentages and per share data) (Unaudited)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our press release, we provide non-GAAP operating income, non-GAAP operating margin, non-GAAP net income, and non-GAAP diluted earnings per common share for the six months ended June 30, 2025. The following tables provide a reconciliation between these amounts determined on a non-GAAP basis and the most directly comparable GAAP measures.</w:t>
      </w:r>
    </w:p>
    <w:p>
      <w:pPr>
        <w:spacing w:after="0" w:line="75"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For the six months ended</w:t>
      </w:r>
    </w:p>
    <w:p>
      <w:pPr>
        <w:jc w:val="center"/>
        <w:ind w:left="842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20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592,761</w:t>
            </w:r>
          </w:p>
        </w:tc>
      </w:tr>
      <w:tr>
        <w:trPr>
          <w:trHeight w:val="21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income, excluding Miller Electric transaction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743,321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592,761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For the six months ended</w:t>
      </w:r>
    </w:p>
    <w:p>
      <w:pPr>
        <w:jc w:val="center"/>
        <w:ind w:left="826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operating margin</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Non-GAAP operating margin, excluding Miller Electric transaction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For the six months ended</w:t>
      </w:r>
    </w:p>
    <w:p>
      <w:pPr>
        <w:jc w:val="center"/>
        <w:ind w:left="792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78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net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444,721</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80" w:type="dxa"/>
            <w:vAlign w:val="bottom"/>
          </w:tcPr>
          <w:p>
            <w:pPr>
              <w:ind w:left="20"/>
              <w:spacing w:after="0"/>
              <w:rPr>
                <w:sz w:val="20"/>
                <w:szCs w:val="20"/>
                <w:color w:val="auto"/>
              </w:rPr>
            </w:pPr>
            <w:r>
              <w:rPr>
                <w:rFonts w:ascii="Arial" w:cs="Arial" w:eastAsia="Arial" w:hAnsi="Arial"/>
                <w:sz w:val="16"/>
                <w:szCs w:val="16"/>
                <w:color w:val="auto"/>
              </w:rPr>
              <w:t>Non-GAAP net income, excluding Miller Electric transaction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444,721</w:t>
            </w:r>
          </w:p>
        </w:tc>
      </w:tr>
      <w:tr>
        <w:trPr>
          <w:trHeight w:val="21"/>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For the six months ended</w:t>
      </w:r>
    </w:p>
    <w:p>
      <w:pPr>
        <w:jc w:val="center"/>
        <w:ind w:left="792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78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earnings per common share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Transaction expenses related to the acquisition of Miller Electric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 of transaction expenses related to the acquisition of Miller Electric</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80" w:type="dxa"/>
            <w:vAlign w:val="bottom"/>
          </w:tcPr>
          <w:p>
            <w:pPr>
              <w:ind w:left="20"/>
              <w:spacing w:after="0"/>
              <w:rPr>
                <w:sz w:val="20"/>
                <w:szCs w:val="20"/>
                <w:color w:val="auto"/>
              </w:rPr>
            </w:pPr>
            <w:r>
              <w:rPr>
                <w:rFonts w:ascii="Arial" w:cs="Arial" w:eastAsia="Arial" w:hAnsi="Arial"/>
                <w:sz w:val="16"/>
                <w:szCs w:val="16"/>
                <w:color w:val="auto"/>
              </w:rPr>
              <w:t>Non-GAAP diluted earnings per common share, excluding Miller Electric transaction expenses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7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2025-07-31T08:57:37Z</dcterms:created>
  <dcterms:modified xsi:type="dcterms:W3CDTF">2025-07-31T08:57:37Z</dcterms:modified>
</cp:coreProperties>
</file>