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3125470</wp:posOffset>
            </wp:positionH>
            <wp:positionV relativeFrom="paragraph">
              <wp:posOffset>21590</wp:posOffset>
            </wp:positionV>
            <wp:extent cx="8915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3125470</wp:posOffset>
            </wp:positionH>
            <wp:positionV relativeFrom="paragraph">
              <wp:posOffset>67310</wp:posOffset>
            </wp:positionV>
            <wp:extent cx="8915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4, 2026</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EMCOR Group,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tbl>
      <w:tblPr>
        <w:tblLayout w:type="fixed"/>
        <w:tblInd w:w="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30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1-8267</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00" w:type="dxa"/>
            <w:vAlign w:val="bottom"/>
            <w:gridSpan w:val="2"/>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11-2125338</w:t>
            </w:r>
          </w:p>
        </w:tc>
        <w:tc>
          <w:tcPr>
            <w:tcW w:w="2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34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40" w:type="dxa"/>
            <w:vAlign w:val="bottom"/>
          </w:tcPr>
          <w:p>
            <w:pPr>
              <w:spacing w:after="0"/>
              <w:rPr>
                <w:sz w:val="19"/>
                <w:szCs w:val="19"/>
                <w:color w:val="auto"/>
              </w:rPr>
            </w:pPr>
          </w:p>
        </w:tc>
        <w:tc>
          <w:tcPr>
            <w:tcW w:w="3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324"/>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301 Merritt Seven</w:t>
            </w: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Norwalk, Connecticut</w:t>
            </w:r>
          </w:p>
        </w:tc>
        <w:tc>
          <w:tcPr>
            <w:tcW w:w="19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2"/>
          </w:tcPr>
          <w:p>
            <w:pPr>
              <w:jc w:val="right"/>
              <w:ind w:right="1780"/>
              <w:spacing w:after="0"/>
              <w:rPr>
                <w:sz w:val="20"/>
                <w:szCs w:val="20"/>
                <w:color w:val="auto"/>
              </w:rPr>
            </w:pPr>
            <w:r>
              <w:rPr>
                <w:rFonts w:ascii="Times New Roman" w:cs="Times New Roman" w:eastAsia="Times New Roman" w:hAnsi="Times New Roman"/>
                <w:sz w:val="18"/>
                <w:szCs w:val="18"/>
                <w:b w:val="1"/>
                <w:bCs w:val="1"/>
                <w:color w:val="auto"/>
              </w:rPr>
              <w:t>06851-1092</w:t>
            </w:r>
          </w:p>
        </w:tc>
        <w:tc>
          <w:tcPr>
            <w:tcW w:w="20" w:type="dxa"/>
            <w:vAlign w:val="bottom"/>
            <w:tcBorders>
              <w:bottom w:val="single" w:sz="8" w:color="auto"/>
            </w:tcBorders>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62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35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r>
        <w:trPr>
          <w:trHeight w:val="50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 849-7800</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319"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EME</w:t>
            </w:r>
          </w:p>
        </w:tc>
        <w:tc>
          <w:tcPr>
            <w:tcW w:w="100" w:type="dxa"/>
            <w:vAlign w:val="bottom"/>
          </w:tcPr>
          <w:p>
            <w:pPr>
              <w:spacing w:after="0"/>
              <w:rPr>
                <w:sz w:val="18"/>
                <w:szCs w:val="18"/>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32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7"/>
        </w:trPr>
        <w:tc>
          <w:tcPr>
            <w:tcW w:w="24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2044700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4, 2026, at the 2026 Annual Meeting of Stockholders of the Company, the stockholders of the Company voted on the following three proposals:</w:t>
      </w:r>
    </w:p>
    <w:p>
      <w:pPr>
        <w:spacing w:after="0" w:line="239" w:lineRule="exact"/>
        <w:rPr>
          <w:sz w:val="20"/>
          <w:szCs w:val="20"/>
          <w:color w:val="auto"/>
        </w:rPr>
      </w:pPr>
    </w:p>
    <w:p>
      <w:pPr>
        <w:ind w:left="660" w:hanging="652"/>
        <w:spacing w:after="0" w:line="266" w:lineRule="auto"/>
        <w:tabs>
          <w:tab w:leader="none" w:pos="32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directors identified in the proxy statement on Schedule 14A related to the 2026 Annual Meeting of Stockholders of the Company to serve until the next Annual Meeting of Stockholders and until their successors are duly elected and qualified;</w:t>
      </w:r>
    </w:p>
    <w:p>
      <w:pPr>
        <w:spacing w:after="0" w:line="18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 non-binding advisory resolution approving named executive officer compensation; and</w:t>
      </w:r>
    </w:p>
    <w:p>
      <w:pPr>
        <w:spacing w:after="0" w:line="27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the Company’s independent auditors for 2026.</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voting results for each proposal were as follows: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The nominees for director were elected based upon the following votes: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w:t>
            </w:r>
          </w:p>
        </w:tc>
        <w:tc>
          <w:tcPr>
            <w:tcW w:w="80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For</w:t>
            </w:r>
          </w:p>
        </w:tc>
        <w:tc>
          <w:tcPr>
            <w:tcW w:w="23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Shares Against</w:t>
            </w:r>
          </w:p>
        </w:tc>
        <w:tc>
          <w:tcPr>
            <w:tcW w:w="198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Shares Abstaining</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0"/>
        </w:trPr>
        <w:tc>
          <w:tcPr>
            <w:tcW w:w="6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515"/>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 Altmeyer</w:t>
            </w:r>
          </w:p>
        </w:tc>
        <w:tc>
          <w:tcPr>
            <w:tcW w:w="21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34,863,327</w:t>
            </w:r>
          </w:p>
        </w:tc>
        <w:tc>
          <w:tcPr>
            <w:tcW w:w="16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2,478,850</w:t>
            </w:r>
          </w:p>
        </w:tc>
        <w:tc>
          <w:tcPr>
            <w:tcW w:w="7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19,372</w:t>
            </w:r>
          </w:p>
        </w:tc>
        <w:tc>
          <w:tcPr>
            <w:tcW w:w="6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2,175,684</w:t>
            </w:r>
          </w:p>
        </w:tc>
      </w:tr>
      <w:tr>
        <w:trPr>
          <w:trHeight w:val="229"/>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Amy E. Dahl</w:t>
            </w:r>
          </w:p>
        </w:tc>
        <w:tc>
          <w:tcPr>
            <w:tcW w:w="21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36,614,300</w:t>
            </w:r>
          </w:p>
        </w:tc>
        <w:tc>
          <w:tcPr>
            <w:tcW w:w="16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730,664</w:t>
            </w:r>
          </w:p>
        </w:tc>
        <w:tc>
          <w:tcPr>
            <w:tcW w:w="7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16,585</w:t>
            </w:r>
          </w:p>
        </w:tc>
        <w:tc>
          <w:tcPr>
            <w:tcW w:w="6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2,175,684</w:t>
            </w:r>
          </w:p>
        </w:tc>
      </w:tr>
      <w:tr>
        <w:trPr>
          <w:trHeight w:val="23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J. Guzzi</w:t>
            </w:r>
          </w:p>
        </w:tc>
        <w:tc>
          <w:tcPr>
            <w:tcW w:w="21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35,322,997</w:t>
            </w:r>
          </w:p>
        </w:tc>
        <w:tc>
          <w:tcPr>
            <w:tcW w:w="16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2,013,981</w:t>
            </w:r>
          </w:p>
        </w:tc>
        <w:tc>
          <w:tcPr>
            <w:tcW w:w="7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24,571</w:t>
            </w:r>
          </w:p>
        </w:tc>
        <w:tc>
          <w:tcPr>
            <w:tcW w:w="6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2,175,684</w:t>
            </w:r>
          </w:p>
        </w:tc>
      </w:tr>
      <w:tr>
        <w:trPr>
          <w:trHeight w:val="229"/>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L. Johnson</w:t>
            </w:r>
          </w:p>
        </w:tc>
        <w:tc>
          <w:tcPr>
            <w:tcW w:w="21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36,677,647</w:t>
            </w:r>
          </w:p>
        </w:tc>
        <w:tc>
          <w:tcPr>
            <w:tcW w:w="16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640,390</w:t>
            </w:r>
          </w:p>
        </w:tc>
        <w:tc>
          <w:tcPr>
            <w:tcW w:w="7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43,512</w:t>
            </w:r>
          </w:p>
        </w:tc>
        <w:tc>
          <w:tcPr>
            <w:tcW w:w="6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2,175,684</w:t>
            </w:r>
          </w:p>
        </w:tc>
      </w:tr>
      <w:tr>
        <w:trPr>
          <w:trHeight w:val="23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 P. Lowe</w:t>
            </w:r>
          </w:p>
        </w:tc>
        <w:tc>
          <w:tcPr>
            <w:tcW w:w="21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36,465,538</w:t>
            </w:r>
          </w:p>
        </w:tc>
        <w:tc>
          <w:tcPr>
            <w:tcW w:w="16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879,885</w:t>
            </w:r>
          </w:p>
        </w:tc>
        <w:tc>
          <w:tcPr>
            <w:tcW w:w="7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16,126</w:t>
            </w:r>
          </w:p>
        </w:tc>
        <w:tc>
          <w:tcPr>
            <w:tcW w:w="6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2,175,684</w:t>
            </w:r>
          </w:p>
        </w:tc>
      </w:tr>
      <w:tr>
        <w:trPr>
          <w:trHeight w:val="23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 Kevin McEvoy</w:t>
            </w:r>
          </w:p>
        </w:tc>
        <w:tc>
          <w:tcPr>
            <w:tcW w:w="21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35,765,259</w:t>
            </w:r>
          </w:p>
        </w:tc>
        <w:tc>
          <w:tcPr>
            <w:tcW w:w="16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1,578,565</w:t>
            </w:r>
          </w:p>
        </w:tc>
        <w:tc>
          <w:tcPr>
            <w:tcW w:w="7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17,725</w:t>
            </w:r>
          </w:p>
        </w:tc>
        <w:tc>
          <w:tcPr>
            <w:tcW w:w="6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2,175,684</w:t>
            </w:r>
          </w:p>
        </w:tc>
      </w:tr>
      <w:tr>
        <w:trPr>
          <w:trHeight w:val="23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 Roche</w:t>
            </w:r>
          </w:p>
        </w:tc>
        <w:tc>
          <w:tcPr>
            <w:tcW w:w="21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37,162,478</w:t>
            </w:r>
          </w:p>
        </w:tc>
        <w:tc>
          <w:tcPr>
            <w:tcW w:w="16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181,745</w:t>
            </w:r>
          </w:p>
        </w:tc>
        <w:tc>
          <w:tcPr>
            <w:tcW w:w="7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17,326</w:t>
            </w:r>
          </w:p>
        </w:tc>
        <w:tc>
          <w:tcPr>
            <w:tcW w:w="6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2,175,684</w:t>
            </w:r>
          </w:p>
        </w:tc>
      </w:tr>
      <w:tr>
        <w:trPr>
          <w:trHeight w:val="229"/>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B. Schwarzwaelder</w:t>
            </w:r>
          </w:p>
        </w:tc>
        <w:tc>
          <w:tcPr>
            <w:tcW w:w="21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36,720,643</w:t>
            </w:r>
          </w:p>
        </w:tc>
        <w:tc>
          <w:tcPr>
            <w:tcW w:w="16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622,985</w:t>
            </w:r>
          </w:p>
        </w:tc>
        <w:tc>
          <w:tcPr>
            <w:tcW w:w="7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17,921</w:t>
            </w:r>
          </w:p>
        </w:tc>
        <w:tc>
          <w:tcPr>
            <w:tcW w:w="6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2,175,684</w:t>
            </w:r>
          </w:p>
        </w:tc>
      </w:tr>
      <w:tr>
        <w:trPr>
          <w:trHeight w:val="23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Walker-Lee</w:t>
            </w:r>
          </w:p>
        </w:tc>
        <w:tc>
          <w:tcPr>
            <w:tcW w:w="21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36,209,161</w:t>
            </w:r>
          </w:p>
        </w:tc>
        <w:tc>
          <w:tcPr>
            <w:tcW w:w="16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1,110,466</w:t>
            </w:r>
          </w:p>
        </w:tc>
        <w:tc>
          <w:tcPr>
            <w:tcW w:w="7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41,922</w:t>
            </w:r>
          </w:p>
        </w:tc>
        <w:tc>
          <w:tcPr>
            <w:tcW w:w="6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2,175,684</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incumbent directors standing for election were re-elected.</w:t>
      </w:r>
    </w:p>
    <w:p>
      <w:pPr>
        <w:spacing w:after="0" w:line="200" w:lineRule="exact"/>
        <w:rPr>
          <w:sz w:val="20"/>
          <w:szCs w:val="20"/>
          <w:color w:val="auto"/>
        </w:rPr>
      </w:pPr>
    </w:p>
    <w:p>
      <w:pPr>
        <w:spacing w:after="0" w:line="29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Proposal 2. The proposal for stockholders to approve, on a non-binding advisory basis, the compensation of the Company’s named executive officers was approved based upon the following votes:</w:t>
      </w:r>
    </w:p>
    <w:p>
      <w:pPr>
        <w:spacing w:after="0" w:line="229" w:lineRule="exact"/>
        <w:rPr>
          <w:sz w:val="20"/>
          <w:szCs w:val="20"/>
          <w:color w:val="auto"/>
        </w:rPr>
      </w:pPr>
    </w:p>
    <w:tbl>
      <w:tblPr>
        <w:tblLayout w:type="fixed"/>
        <w:tblInd w:w="308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Shares For</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6"/>
              </w:rPr>
              <w:t>32,437,835</w:t>
            </w:r>
          </w:p>
        </w:tc>
      </w:tr>
      <w:tr>
        <w:trPr>
          <w:trHeight w:val="22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Shares Against</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4,870,814</w:t>
            </w:r>
          </w:p>
        </w:tc>
      </w:tr>
      <w:tr>
        <w:trPr>
          <w:trHeight w:val="23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Shares Abstaining</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52,900</w:t>
            </w: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2,175,684</w:t>
            </w:r>
          </w:p>
        </w:tc>
      </w:tr>
    </w:tbl>
    <w:p>
      <w:pPr>
        <w:spacing w:after="0" w:line="3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Proposal 3. The proposal for stockholders to ratify the appointment of Ernst &amp; Young LLP as the Company’s independent auditors for 2026 was approved based upon the following votes:</w:t>
      </w:r>
    </w:p>
    <w:p>
      <w:pPr>
        <w:spacing w:after="0" w:line="243" w:lineRule="exact"/>
        <w:rPr>
          <w:sz w:val="20"/>
          <w:szCs w:val="20"/>
          <w:color w:val="auto"/>
        </w:rPr>
      </w:pPr>
    </w:p>
    <w:tbl>
      <w:tblPr>
        <w:tblLayout w:type="fixed"/>
        <w:tblInd w:w="308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Shares For</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6"/>
              </w:rPr>
              <w:t>36,270,830</w:t>
            </w:r>
          </w:p>
        </w:tc>
      </w:tr>
      <w:tr>
        <w:trPr>
          <w:trHeight w:val="22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Shares Against</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3,248,493</w:t>
            </w: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Shares Abstaining</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17,910</w:t>
            </w:r>
          </w:p>
        </w:tc>
      </w:tr>
    </w:tbl>
    <w:p>
      <w:pPr>
        <w:ind w:left="3080"/>
        <w:spacing w:after="0"/>
        <w:rPr>
          <w:sz w:val="20"/>
          <w:szCs w:val="20"/>
          <w:color w:val="auto"/>
        </w:rPr>
      </w:pPr>
      <w:r>
        <w:rPr>
          <w:rFonts w:ascii="Times New Roman" w:cs="Times New Roman" w:eastAsia="Times New Roman" w:hAnsi="Times New Roman"/>
          <w:sz w:val="18"/>
          <w:szCs w:val="18"/>
          <w:color w:val="auto"/>
        </w:rPr>
        <w:t>There were no broker non-votes on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 Exhibits</w:t>
            </w:r>
          </w:p>
        </w:tc>
        <w:tc>
          <w:tcPr>
            <w:tcW w:w="9640" w:type="dxa"/>
            <w:vAlign w:val="bottom"/>
          </w:tcPr>
          <w:p>
            <w:pPr>
              <w:spacing w:after="0"/>
              <w:rPr>
                <w:sz w:val="20"/>
                <w:szCs w:val="20"/>
                <w:color w:val="auto"/>
              </w:rPr>
            </w:pPr>
          </w:p>
        </w:tc>
      </w:tr>
      <w:tr>
        <w:trPr>
          <w:trHeight w:val="459"/>
        </w:trPr>
        <w:tc>
          <w:tcPr>
            <w:tcW w:w="1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9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Description</w:t>
            </w:r>
          </w:p>
        </w:tc>
      </w:tr>
      <w:tr>
        <w:trPr>
          <w:trHeight w:val="22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 w:name="page4"/>
    <w:bookmarkEnd w:id="3"/>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560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EMCOR Group, Inc.</w:t>
            </w:r>
          </w:p>
        </w:tc>
      </w:tr>
      <w:tr>
        <w:trPr>
          <w:trHeight w:val="45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27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ANTHONY J. GUZZI</w:t>
            </w:r>
          </w:p>
        </w:tc>
      </w:tr>
      <w:tr>
        <w:trPr>
          <w:trHeight w:val="218"/>
        </w:trPr>
        <w:tc>
          <w:tcPr>
            <w:tcW w:w="3360" w:type="dxa"/>
            <w:vAlign w:val="bottom"/>
          </w:tcPr>
          <w:p>
            <w:pPr>
              <w:spacing w:after="0"/>
              <w:rPr>
                <w:sz w:val="18"/>
                <w:szCs w:val="18"/>
                <w:color w:val="auto"/>
              </w:rPr>
            </w:pPr>
          </w:p>
        </w:tc>
        <w:tc>
          <w:tcPr>
            <w:tcW w:w="27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J. Guzzi</w:t>
            </w:r>
          </w:p>
        </w:tc>
      </w:tr>
      <w:tr>
        <w:trPr>
          <w:trHeight w:val="230"/>
        </w:trPr>
        <w:tc>
          <w:tcPr>
            <w:tcW w:w="3360" w:type="dxa"/>
            <w:vAlign w:val="bottom"/>
          </w:tcPr>
          <w:p>
            <w:pPr>
              <w:spacing w:after="0"/>
              <w:rPr>
                <w:sz w:val="19"/>
                <w:szCs w:val="19"/>
                <w:color w:val="auto"/>
              </w:rPr>
            </w:pPr>
          </w:p>
        </w:tc>
        <w:tc>
          <w:tcPr>
            <w:tcW w:w="27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w:t>
            </w:r>
          </w:p>
        </w:tc>
      </w:tr>
      <w:tr>
        <w:trPr>
          <w:trHeight w:val="234"/>
        </w:trPr>
        <w:tc>
          <w:tcPr>
            <w:tcW w:w="3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2026-06-04T15:31:31Z</dcterms:created>
  <dcterms:modified xsi:type="dcterms:W3CDTF">2026-06-04T15:31:31Z</dcterms:modified>
</cp:coreProperties>
</file>