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Altmeyer John 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1330 SAXTON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EMCOR 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EME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10/30/2025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MECHANICSBURG PA</w:t>
            </w:r>
          </w:p>
        </w:tc>
        <w:tc>
          <w:tcPr>
            <w:tcW w:w="1540" w:type="dxa"/>
            <w:vAlign w:val="bottom"/>
          </w:tcPr>
          <w:p>
            <w:pPr>
              <w:jc w:val="right"/>
              <w:ind w:right="543"/>
              <w:spacing w:after="0"/>
              <w:rPr>
                <w:sz w:val="20"/>
                <w:szCs w:val="20"/>
                <w:color w:val="auto"/>
              </w:rPr>
            </w:pPr>
            <w:r>
              <w:rPr>
                <w:rFonts w:ascii="Times New Roman" w:cs="Times New Roman" w:eastAsia="Times New Roman" w:hAnsi="Times New Roman"/>
                <w:sz w:val="17"/>
                <w:szCs w:val="17"/>
                <w:color w:val="0000FF"/>
              </w:rPr>
              <w:t>17055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00"/>
              <w:spacing w:after="0"/>
              <w:rPr>
                <w:sz w:val="20"/>
                <w:szCs w:val="20"/>
                <w:color w:val="auto"/>
              </w:rPr>
            </w:pPr>
            <w:r>
              <w:rPr>
                <w:rFonts w:ascii="Arial" w:cs="Arial" w:eastAsia="Arial" w:hAnsi="Arial"/>
                <w:sz w:val="13"/>
                <w:szCs w:val="13"/>
                <w:color w:val="auto"/>
              </w:rPr>
              <w:t>(State)</w:t>
            </w:r>
          </w:p>
        </w:tc>
        <w:tc>
          <w:tcPr>
            <w:tcW w:w="1540" w:type="dxa"/>
            <w:vAlign w:val="bottom"/>
          </w:tcPr>
          <w:p>
            <w:pPr>
              <w:jc w:val="right"/>
              <w:ind w:right="84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10/30/2025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320"/>
              <w:spacing w:after="0" w:line="320" w:lineRule="exact"/>
              <w:rPr>
                <w:sz w:val="20"/>
                <w:szCs w:val="20"/>
                <w:color w:val="auto"/>
              </w:rPr>
            </w:pPr>
            <w:r>
              <w:rPr>
                <w:rFonts w:ascii="Times New Roman" w:cs="Times New Roman" w:eastAsia="Times New Roman" w:hAnsi="Times New Roman"/>
                <w:sz w:val="34"/>
                <w:szCs w:val="34"/>
                <w:color w:val="0000FF"/>
                <w:vertAlign w:val="subscript"/>
              </w:rPr>
              <w:t>2</w:t>
            </w:r>
            <w:r>
              <w:rPr>
                <w:rFonts w:ascii="Times New Roman" w:cs="Times New Roman" w:eastAsia="Times New Roman" w:hAnsi="Times New Roman"/>
                <w:sz w:val="11"/>
                <w:szCs w:val="11"/>
                <w:color w:val="008000"/>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36,110</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issued in respect of already outstanding RSUs as a consequence of a dividend paid on the Company's common stock on October 30, 2025. The RSUs issued on October 30, 2025 are subject to the same vesting and forfeiture provisions as the RSUs in respect of which they have been issued.</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issuable in respect of RSUs.</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Maxine L. Mauricio,</w:t>
            </w:r>
          </w:p>
        </w:tc>
        <w:tc>
          <w:tcPr>
            <w:tcW w:w="6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10/31/2025</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43846" TargetMode="External"/><Relationship Id="rId14" Type="http://schemas.openxmlformats.org/officeDocument/2006/relationships/hyperlink" Target="http://www.sec.gov/cgi-bin/browse-edgar?action=getcompany&amp;CIK=000010563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2025-10-31T11:45:41Z</dcterms:created>
  <dcterms:modified xsi:type="dcterms:W3CDTF">2025-10-31T11:45:41Z</dcterms:modified>
</cp:coreProperties>
</file>