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33020</wp:posOffset>
            </wp:positionV>
            <wp:extent cx="1080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-172085</wp:posOffset>
            </wp:positionV>
            <wp:extent cx="1080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2025</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20" w:type="dxa"/>
            <w:vAlign w:val="bottom"/>
            <w:gridSpan w:val="4"/>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1890395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October 27, 2025, the Board of Directors (the “Board”) of EMCOR Group, Inc. (the “Company”) elected Pat Roche to the Board, effective as of October 27, 2025 (the “Effective Date”).</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the Effective Date, Mr. Roche was awarded 158 restricted stock units, representing a prorated amount under the Company’s Director Award Program, with a market value of $119,266.30 based on the closing price of the Company’s common stock on the Effective Date. Such restricted stock units were issued pursuant to a Restricted Stock Unit Award Agreement, substantially similar to the Company’s standard form of Director Restricted Stock Unit Agreement, which was filed as Exhibit 10(k)(k) to the Company’s Quarterly Report on Form 10-Q for the quarter ended June 30, 2012, and is incorporated herein by reference. Mr. Roche will be compensated as a director in accordance with the Company’s compensation policy for non-employee directors as described in the Company’s Proxy Statement on Schedule 14A for its 2025 Annual Meeting of Stockholders. Mr. Roche and the Company also entered into an indemnification agreement, substantially similar to the Company’s standard form of officer and director indemnification agreement, which is filed herewith as Exhibit 10.1.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29, 2025, the Company issued a press release announcing the appointment of Mr. Roche to the Board. A copy of the press release is attached hereto as Exhibit 99.1 and is incorporated by reference herein.</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The information (including Exhibit 99.1) being furnished pursuant to this Item 7.01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regardless of any general incorporation language in such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459"/>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9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9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Form of Indemnification Agreement</w:t>
            </w:r>
          </w:p>
        </w:tc>
      </w:tr>
      <w:tr>
        <w:trPr>
          <w:trHeight w:val="20"/>
        </w:trPr>
        <w:tc>
          <w:tcPr>
            <w:tcW w:w="198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1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October 29, 2025</w:t>
            </w:r>
          </w:p>
        </w:tc>
      </w:tr>
      <w:tr>
        <w:trPr>
          <w:trHeight w:val="20"/>
        </w:trPr>
        <w:tc>
          <w:tcPr>
            <w:tcW w:w="19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EMCOR Group, Inc.</w:t>
      </w:r>
    </w:p>
    <w:p>
      <w:pPr>
        <w:sectPr>
          <w:pgSz w:w="11900" w:h="16838" w:orient="portrait"/>
          <w:cols w:equalWidth="0" w:num="1">
            <w:col w:w="11240"/>
          </w:cols>
          <w:pgMar w:left="320" w:top="1332"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October 29,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17145</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680" w:space="720"/>
            <w:col w:w="420" w:space="720"/>
            <w:col w:w="4700"/>
          </w:cols>
          <w:pgMar w:left="320" w:top="1332" w:right="339" w:bottom="1440" w:gutter="0" w:footer="0" w:header="0"/>
          <w:type w:val="continuous"/>
        </w:sectPr>
      </w:pPr>
    </w:p>
    <w:p>
      <w:pPr>
        <w:jc w:val="center"/>
        <w:ind w:left="368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7"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3"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32" w:right="339" w:bottom="1440" w:gutter="0" w:footer="0" w:header="0"/>
          <w:type w:val="continuous"/>
        </w:sectPr>
      </w:pPr>
    </w:p>
    <w:bookmarkStart w:id="3" w:name="page4"/>
    <w:bookmarkEnd w:id="3"/>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INDEMNIFICATION AGREEMENT</w:t>
      </w:r>
    </w:p>
    <w:p>
      <w:pPr>
        <w:spacing w:after="0" w:line="229" w:lineRule="exact"/>
        <w:rPr>
          <w:sz w:val="20"/>
          <w:szCs w:val="20"/>
          <w:color w:val="auto"/>
        </w:rPr>
      </w:pPr>
    </w:p>
    <w:p>
      <w:pPr>
        <w:jc w:val="both"/>
        <w:ind w:firstLine="274"/>
        <w:spacing w:after="0" w:line="486" w:lineRule="auto"/>
        <w:rPr>
          <w:sz w:val="20"/>
          <w:szCs w:val="20"/>
          <w:color w:val="auto"/>
        </w:rPr>
      </w:pPr>
      <w:r>
        <w:rPr>
          <w:rFonts w:ascii="Arial" w:cs="Arial" w:eastAsia="Arial" w:hAnsi="Arial"/>
          <w:sz w:val="20"/>
          <w:szCs w:val="20"/>
          <w:color w:val="auto"/>
        </w:rPr>
        <w:t>AGREEMENT, effective as of October 27, 2025 between EMCOR GROUP, INC., a Delaware corporation (the "Company"), and Patrick Roche (the "Indemnitee").</w:t>
      </w:r>
    </w:p>
    <w:p>
      <w:pPr>
        <w:ind w:left="660"/>
        <w:spacing w:after="0"/>
        <w:rPr>
          <w:sz w:val="20"/>
          <w:szCs w:val="20"/>
          <w:color w:val="auto"/>
        </w:rPr>
      </w:pPr>
      <w:r>
        <w:rPr>
          <w:rFonts w:ascii="Arial" w:cs="Arial" w:eastAsia="Arial" w:hAnsi="Arial"/>
          <w:sz w:val="20"/>
          <w:szCs w:val="20"/>
          <w:color w:val="auto"/>
        </w:rPr>
        <w:t>WHEREAS, Indemnitee is a director or officer of the Company;</w:t>
      </w:r>
    </w:p>
    <w:p>
      <w:pPr>
        <w:spacing w:after="0" w:line="229" w:lineRule="exact"/>
        <w:rPr>
          <w:sz w:val="20"/>
          <w:szCs w:val="20"/>
          <w:color w:val="auto"/>
        </w:rPr>
      </w:pPr>
    </w:p>
    <w:p>
      <w:pPr>
        <w:jc w:val="both"/>
        <w:ind w:firstLine="648"/>
        <w:spacing w:after="0" w:line="479" w:lineRule="auto"/>
        <w:rPr>
          <w:sz w:val="20"/>
          <w:szCs w:val="20"/>
          <w:color w:val="auto"/>
        </w:rPr>
      </w:pPr>
      <w:r>
        <w:rPr>
          <w:rFonts w:ascii="Arial" w:cs="Arial" w:eastAsia="Arial" w:hAnsi="Arial"/>
          <w:sz w:val="20"/>
          <w:szCs w:val="20"/>
          <w:color w:val="auto"/>
        </w:rPr>
        <w:t>WHEREAS, both the Company and Indemnitee recognize the increased risk of litigation and other claims being asserted against directors and officers of public companies in today's environment;</w:t>
      </w:r>
    </w:p>
    <w:p>
      <w:pPr>
        <w:jc w:val="both"/>
        <w:ind w:firstLine="648"/>
        <w:spacing w:after="0" w:line="479" w:lineRule="auto"/>
        <w:rPr>
          <w:sz w:val="20"/>
          <w:szCs w:val="20"/>
          <w:color w:val="auto"/>
        </w:rPr>
      </w:pPr>
      <w:r>
        <w:rPr>
          <w:rFonts w:ascii="Arial" w:cs="Arial" w:eastAsia="Arial" w:hAnsi="Arial"/>
          <w:sz w:val="20"/>
          <w:szCs w:val="20"/>
          <w:color w:val="auto"/>
        </w:rPr>
        <w:t>WHEREAS, basic protection against undue risk of personal liability of directors and officers heretofore has been provided through insurance coverage providing reasonable protection at reasonable cost, and Indemnitee has relied on the availability of such coverage; but as a result of substantial changes in the marketplace for such insurance it has become increasingly more difficult to obtain such insurance on terms providing reasonable protection at reasonable cost;</w:t>
      </w:r>
    </w:p>
    <w:p>
      <w:pPr>
        <w:jc w:val="both"/>
        <w:ind w:firstLine="648"/>
        <w:spacing w:after="0" w:line="479" w:lineRule="auto"/>
        <w:rPr>
          <w:sz w:val="20"/>
          <w:szCs w:val="20"/>
          <w:color w:val="auto"/>
        </w:rPr>
      </w:pPr>
      <w:r>
        <w:rPr>
          <w:rFonts w:ascii="Arial" w:cs="Arial" w:eastAsia="Arial" w:hAnsi="Arial"/>
          <w:sz w:val="20"/>
          <w:szCs w:val="20"/>
          <w:color w:val="auto"/>
        </w:rPr>
        <w:t>WHEREAS, the By-laws of the Company require the Company to indemnify expenses to its directors and officers to the full extent permitted by law and Indemnitee has been serving and continues to serve as a director or officer of the Company in part in reliance on such By-laws;</w:t>
      </w:r>
    </w:p>
    <w:p>
      <w:pPr>
        <w:jc w:val="both"/>
        <w:ind w:firstLine="648"/>
        <w:spacing w:after="0" w:line="485" w:lineRule="auto"/>
        <w:rPr>
          <w:sz w:val="20"/>
          <w:szCs w:val="20"/>
          <w:color w:val="auto"/>
        </w:rPr>
      </w:pPr>
      <w:r>
        <w:rPr>
          <w:rFonts w:ascii="Arial" w:cs="Arial" w:eastAsia="Arial" w:hAnsi="Arial"/>
          <w:sz w:val="20"/>
          <w:szCs w:val="20"/>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afforded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w:t>
      </w:r>
    </w:p>
    <w:p>
      <w:pPr>
        <w:sectPr>
          <w:pgSz w:w="11900" w:h="16838" w:orient="portrait"/>
          <w:cols w:equalWidth="0" w:num="1">
            <w:col w:w="11240"/>
          </w:cols>
          <w:pgMar w:left="320" w:top="1440" w:right="339" w:bottom="1440" w:gutter="0" w:footer="0" w:header="0"/>
        </w:sectPr>
      </w:pPr>
    </w:p>
    <w:bookmarkStart w:id="4" w:name="page5"/>
    <w:bookmarkEnd w:id="4"/>
    <w:p>
      <w:pPr>
        <w:spacing w:after="0" w:line="177" w:lineRule="exact"/>
        <w:rPr>
          <w:sz w:val="20"/>
          <w:szCs w:val="20"/>
          <w:color w:val="auto"/>
        </w:rPr>
      </w:pPr>
    </w:p>
    <w:p>
      <w:pPr>
        <w:ind w:right="20"/>
        <w:spacing w:after="0" w:line="479" w:lineRule="auto"/>
        <w:rPr>
          <w:sz w:val="20"/>
          <w:szCs w:val="20"/>
          <w:color w:val="auto"/>
        </w:rPr>
      </w:pPr>
      <w:r>
        <w:rPr>
          <w:rFonts w:ascii="Arial" w:cs="Arial" w:eastAsia="Arial" w:hAnsi="Arial"/>
          <w:sz w:val="20"/>
          <w:szCs w:val="20"/>
          <w:color w:val="auto"/>
        </w:rPr>
        <w:t>extent (whether partial or complete) permitted by law and as set forth in this Agreement, and, to the extent insurance is maintained, for the continued coverage of Indemnitee under the Company's directors, and officers, liability insurance policies;</w:t>
      </w:r>
    </w:p>
    <w:p>
      <w:pPr>
        <w:ind w:firstLine="648"/>
        <w:spacing w:after="0" w:line="479" w:lineRule="auto"/>
        <w:rPr>
          <w:sz w:val="20"/>
          <w:szCs w:val="20"/>
          <w:color w:val="auto"/>
        </w:rPr>
      </w:pPr>
      <w:r>
        <w:rPr>
          <w:rFonts w:ascii="Arial" w:cs="Arial" w:eastAsia="Arial" w:hAnsi="Arial"/>
          <w:sz w:val="20"/>
          <w:szCs w:val="20"/>
          <w:color w:val="auto"/>
        </w:rPr>
        <w:t>NOW, THEREFORE, in consideration of the premises and of Indemnitee's service to the Company, directly or indirectly, and intending to be legally bound hereby, the parties hereto agree as follows:</w:t>
      </w:r>
    </w:p>
    <w:p>
      <w:pPr>
        <w:jc w:val="both"/>
        <w:ind w:firstLine="8"/>
        <w:spacing w:after="0" w:line="481" w:lineRule="auto"/>
        <w:tabs>
          <w:tab w:leader="none" w:pos="503"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the event Indemnitee was, is or becomes a party to or a witness or other participant in, or is threatened to be made a party to, or a witness or other participant in, any threatened, pending or completed action, suit or proceeding, or any inquiry or investigation, whether conducted by the Company or any other party, that Indemnitee in good faith believes might lead to any such action, suit or proceeding, whether civil, criminal, administrative, investigative or otherwise (a "Claim") by reason of (or arising in part out of) the fact that Indemnitee is or was a director, officer, employee, agent or fiduciary of the Company, or is or was serving at the request of the Company as a director, officer, employee, trustee, agent or fiduciary of another corporation, partnership, joint venture, trust, employee benefit plan or other enterprise, or by reason of anything done or not done by Indemnitee in any such capacity (an "Indemnifiable Event"), the Company shall indemnify Indemnitee, to the fullest extent permitted by law as soon as practicable but in any event no later than ten days after written demand is presented to the Company, against any and all expenses (including attorneys' fees and all other costs, expenses and obligations paid or incurred by Indemnitee in connection with investigating, preparing for and defending or participating in the defense of (including an appeal) any Claim relating to any Indemnifiable Event actually and reasonably incurred by Indemnitee) (collectively "Expenses"), judgments, fines, penalties and amounts paid in settlement (including all interest, assessments and other charges paid or payable in connection with or in respect of such judgments, fines, penalties or amounts paid in settlement) of such Claim. If so requested by Indemnitee,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77" w:lineRule="exact"/>
        <w:rPr>
          <w:sz w:val="20"/>
          <w:szCs w:val="20"/>
          <w:color w:val="auto"/>
        </w:rPr>
      </w:pPr>
    </w:p>
    <w:p>
      <w:pPr>
        <w:jc w:val="both"/>
        <w:spacing w:after="0" w:line="480" w:lineRule="auto"/>
        <w:rPr>
          <w:sz w:val="20"/>
          <w:szCs w:val="20"/>
          <w:color w:val="auto"/>
        </w:rPr>
      </w:pPr>
      <w:r>
        <w:rPr>
          <w:rFonts w:ascii="Arial" w:cs="Arial" w:eastAsia="Arial" w:hAnsi="Arial"/>
          <w:sz w:val="20"/>
          <w:szCs w:val="20"/>
          <w:color w:val="auto"/>
        </w:rPr>
        <w:t>Company shall advance (within ten days of such request) any and all such Expenses to Indemnitee; provided, however, that if, when and to the extent that an appropriate person or body (the "Reviewing Party") determines that Indemnitee would not be permitted to be so indemnified under applicable law, the Company shall be entitled to be reimbursed by Indemnitee (who hereby agrees to reimburse the Company) for all such amounts theretofore paid and the Company shall cease to advance Expenses (unless Indemnitee has commenced or thereafter commences legal proceedings in a court of competent jurisdiction to secure a determination that Indemnitee should be indemnified under applicable law, in which event Indemnitee shall be entitled to have such Expenses advanced and shall not be required to so reimburse the Company until a final judicial determination requiring such reimbursement is made with respect thereto as to which all rights of appeal therefrom have been exhausted or lapsed). If there has not been a Change in Control of the Company (as hereinafter defined), the Reviewing Party (which can, but does not have to, be the disinterested members of the Board of Directors or a committee comprised of one or more disinterested members of the Board of Directors) shall be selected by the Board of Directors. If there has been a Change of Control of the Company (other than a Change in Control which has been approved by a majority of the Company's Board of Directors who were directors immediately prior to such Change in Control), the Reviewing Party shall be the special, independent counsel referred to in Section 2 hereof. If, by the expiration of the foregoing ten-day period, Indemnitee has not been indemnified or received Expense advances or the Reviewing Party determines that Indemnitee would not be permitted to be indemnified or be entitled to Expense advances in whole or in part under applicable law, Indemnitee shall have the right to commence litigation seeking from the court a finding that Indemnitee is entitled to indemnification and Expense advances or enforcement of Indemnitee's entitlement to indemnification and Expense advances or challenging any determination by the Reviewing Party or any aspect thereof that Indemnitee is not entitled to be indemnified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77" w:lineRule="exact"/>
        <w:rPr>
          <w:sz w:val="20"/>
          <w:szCs w:val="20"/>
          <w:color w:val="auto"/>
        </w:rPr>
      </w:pPr>
    </w:p>
    <w:p>
      <w:pPr>
        <w:jc w:val="both"/>
        <w:spacing w:after="0" w:line="479" w:lineRule="auto"/>
        <w:rPr>
          <w:sz w:val="20"/>
          <w:szCs w:val="20"/>
          <w:color w:val="auto"/>
        </w:rPr>
      </w:pPr>
      <w:r>
        <w:rPr>
          <w:rFonts w:ascii="Arial" w:cs="Arial" w:eastAsia="Arial" w:hAnsi="Arial"/>
          <w:sz w:val="20"/>
          <w:szCs w:val="20"/>
          <w:color w:val="auto"/>
        </w:rPr>
        <w:t>receive Expense advances; any determination by the Reviewing Party otherwise shall be conclusive and binding on the Company and Indemnitee. Indemnitee agrees to bring any such litigation in any court in the states of New York, Connecticut, or Delaware having subject matter jurisdiction thereof and in which venue is proper, and the Company hereby consents to service of process and to appear in any such proceeding.</w:t>
      </w:r>
    </w:p>
    <w:p>
      <w:pPr>
        <w:jc w:val="both"/>
        <w:ind w:firstLine="8"/>
        <w:spacing w:after="0" w:line="507" w:lineRule="auto"/>
        <w:tabs>
          <w:tab w:leader="none" w:pos="40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By-laws now or hereafter in effect relating to Claims for Indemnifiable Events (including any Claim for Indemnifiable Events arising prior to such Change in Control), the Company shall seek legal advice only from special, independent counsel selected by Indemnitee and approved by the Company (which approval shall not be unreasonably withheld or delayed). Unless Indemnitee has selected counsel pursuant to this Section 2 and such counsel has been approved by the Company (which approval shall not be unreasonably withheld or delayed), the firms in the attached Exhibit A all shall be deemed to satisfy the requirements set forth above. Such counsel, among other things, shall determine whether and to what extent Indemnitee is permitted to be indemnified, is entitled to Expense advances under applicable law, or is obligated to reimburse the Company for Expenses advanced and shall render its written opinion to the Company and Indemnitee to such effect. For purposes of this Agreement, a "Change in Control of the Company" shall be deemed to have occurred if (i) any "person" (as such term is used in Sections 13(d) and 14(d) of the Securities Exchange Act of 1934, as amended), other than a trustee or other fiduciary holding securities under an employee benefit plan of the Company, is or becomes the beneficial owner (as defined in Rule 13d-3 under said Act), directly or indirectly, of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77" w:lineRule="exact"/>
        <w:rPr>
          <w:sz w:val="20"/>
          <w:szCs w:val="20"/>
          <w:color w:val="auto"/>
        </w:rPr>
      </w:pPr>
    </w:p>
    <w:p>
      <w:pPr>
        <w:jc w:val="both"/>
        <w:spacing w:after="0" w:line="479" w:lineRule="auto"/>
        <w:rPr>
          <w:sz w:val="20"/>
          <w:szCs w:val="20"/>
          <w:color w:val="auto"/>
        </w:rPr>
      </w:pPr>
      <w:r>
        <w:rPr>
          <w:rFonts w:ascii="Arial" w:cs="Arial" w:eastAsia="Arial" w:hAnsi="Arial"/>
          <w:sz w:val="20"/>
          <w:szCs w:val="20"/>
          <w:color w:val="auto"/>
        </w:rPr>
        <w:t>representing 20% or more of the combined voting power of the Company's then outstanding securities, or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the Company's assets. The Company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 except for willful misconduct or gross negligence.</w:t>
      </w:r>
    </w:p>
    <w:p>
      <w:pPr>
        <w:ind w:left="660" w:hanging="652"/>
        <w:spacing w:after="0" w:line="489"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In the event of a Potential Change in Control (as defined below) which has not ceased to exist, the Company shall, upon written request by Indemnitee, create a trust for the benefit of Indemnitee and from time to time upon written request of Indemnitee shall fund such trust in an amount sufficient to satisfy any and all Expenses reasonably anticipated at the time of each such request to be incurred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77" w:lineRule="exact"/>
        <w:rPr>
          <w:sz w:val="20"/>
          <w:szCs w:val="20"/>
          <w:color w:val="auto"/>
        </w:rPr>
      </w:pPr>
    </w:p>
    <w:p>
      <w:pPr>
        <w:jc w:val="both"/>
        <w:ind w:left="360"/>
        <w:spacing w:after="0" w:line="479" w:lineRule="auto"/>
        <w:rPr>
          <w:sz w:val="20"/>
          <w:szCs w:val="20"/>
          <w:color w:val="auto"/>
        </w:rPr>
      </w:pPr>
      <w:r>
        <w:rPr>
          <w:rFonts w:ascii="Arial" w:cs="Arial" w:eastAsia="Arial" w:hAnsi="Arial"/>
          <w:sz w:val="20"/>
          <w:szCs w:val="20"/>
          <w:color w:val="auto"/>
        </w:rPr>
        <w:t>investigating, preparing for and defending any Claim relating to an Indemnifiable Event, and any and all judgments, fines, penalties and settlement amounts of any and all Claims relating to an Indemnifiable Event from time to time actually paid or claimed, reasonably anticipated or proposed to be paid. The amount or amounts to be deposited in the trust pursuant to the foregoing funding obligation shall be determined by the Reviewing Party, in any case in which the independent legal counsel referred to above is involved. The terms of the trust shall provide that upon a Change in Control (i) the trust shall not be revoked or the principal thereof invaded, without the written consent of Indemnitee, (ii) the trustee shall advance, within ten days of a request by Indemnitee, any and all Expenses to Indemnitee (and Indemnitee hereby agrees to reimburse the trust under the circumstances under which Indemnitee would be required to reimburse the Company under Section 1 of this Agreement), (iii) the trust shall continue to be funded by the Company in accordance with the funding obligation set forth above, (iv) the trustee shall promptly pay to Indemnitee all amounts for which Indemnitee shall be entitled to indemnification pursuant to this Agreement or otherwise, and (v) all unexpended funds in such trust shall revert to the Company upon a final determination by the Reviewing Party or a court of competent jurisdiction, as the case may be, that Indemnitee has been fully indemnified under the terms of this Agreement. The trustee shall be a bank organized under the laws of the United States of America or of any state and having a combined capital surplus of at least $50,000,000 and shall be chosen by Indemnitee. Nothing in this Section 3 shall relieve the Company of any of its obligations under this Agreement.</w:t>
      </w:r>
    </w:p>
    <w:p>
      <w:pPr>
        <w:jc w:val="both"/>
        <w:ind w:left="360" w:hanging="358"/>
        <w:spacing w:after="0" w:line="495" w:lineRule="auto"/>
        <w:tabs>
          <w:tab w:leader="none" w:pos="531" w:val="left"/>
        </w:tabs>
        <w:numPr>
          <w:ilvl w:val="0"/>
          <w:numId w:val="5"/>
        </w:numPr>
        <w:rPr>
          <w:rFonts w:ascii="Arial" w:cs="Arial" w:eastAsia="Arial" w:hAnsi="Arial"/>
          <w:sz w:val="20"/>
          <w:szCs w:val="20"/>
          <w:color w:val="auto"/>
        </w:rPr>
      </w:pPr>
      <w:r>
        <w:rPr>
          <w:rFonts w:ascii="Arial" w:cs="Arial" w:eastAsia="Arial" w:hAnsi="Arial"/>
          <w:sz w:val="20"/>
          <w:szCs w:val="20"/>
          <w:color w:val="auto"/>
        </w:rPr>
        <w:t>A "Potential Change In Control" shall be deemed to have occurred if (i) the Company enters into an agreement, the consummation of which would result in the occurrence of a Change in Control; (ii) any person (including the Company)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620" w:top="1440" w:right="339" w:bottom="1440" w:gutter="0" w:footer="0" w:header="0"/>
        </w:sectPr>
      </w:pPr>
    </w:p>
    <w:bookmarkStart w:id="9" w:name="page10"/>
    <w:bookmarkEnd w:id="9"/>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announces an intention to take or to consider taking actions which if consummated would constitute a Change in Control;</w:t>
      </w:r>
    </w:p>
    <w:p>
      <w:pPr>
        <w:spacing w:after="0" w:line="241" w:lineRule="exact"/>
        <w:rPr>
          <w:sz w:val="20"/>
          <w:szCs w:val="20"/>
          <w:color w:val="auto"/>
        </w:rPr>
      </w:pPr>
    </w:p>
    <w:p>
      <w:pPr>
        <w:jc w:val="both"/>
        <w:ind w:left="660" w:hanging="4"/>
        <w:spacing w:after="0" w:line="504" w:lineRule="auto"/>
        <w:tabs>
          <w:tab w:leader="none" w:pos="98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person, other than a trustee or other fiduciary holding securities under an employee benefit plan of the Company, who is or becomes the beneficial owner, directly or indirectly, of securities of the Company representing 9.5% or more of the combined voting power of the Company's then outstanding voting securities increases beneficial ownership of such securities by five percentage points (5%) or more over the percentage so owned by such person; or (iv) the Board adopts a resolution to the effect that, for purposes of this Agreement, a Potential Change in Control has occurred.</w:t>
      </w:r>
    </w:p>
    <w:p>
      <w:pPr>
        <w:jc w:val="both"/>
        <w:ind w:firstLine="8"/>
        <w:spacing w:after="0" w:line="479" w:lineRule="auto"/>
        <w:tabs>
          <w:tab w:leader="none" w:pos="559"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event the Company shall be obligated hereunder to pay Expenses of any action, suit or proceeding against Indemnitee, the Company shall be entitled to assume the defense of such proceeding, with counsel approved by Indemnitee (such approval not to be unreasonably withheld or delayed) upon the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Indemnitee’s counsel in any such proceeding at Indemnitee's expense and (ii) if (A) the employment of counsel by Indemnitee has been previously authorized by the Company, (B) 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w:t>
      </w:r>
    </w:p>
    <w:p>
      <w:pPr>
        <w:ind w:right="20" w:firstLine="8"/>
        <w:spacing w:after="0" w:line="511" w:lineRule="auto"/>
        <w:tabs>
          <w:tab w:leader="none" w:pos="476"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shall indemnify Indemnitee against any and all Expenses (including attorneys' fees) and, if requested by Indemnitee, shall (within ten days of such request)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7" w:lineRule="exact"/>
        <w:rPr>
          <w:sz w:val="20"/>
          <w:szCs w:val="20"/>
          <w:color w:val="auto"/>
        </w:rPr>
      </w:pPr>
    </w:p>
    <w:p>
      <w:pPr>
        <w:jc w:val="both"/>
        <w:spacing w:after="0" w:line="479" w:lineRule="auto"/>
        <w:rPr>
          <w:sz w:val="20"/>
          <w:szCs w:val="20"/>
          <w:color w:val="auto"/>
        </w:rPr>
      </w:pPr>
      <w:r>
        <w:rPr>
          <w:rFonts w:ascii="Arial" w:cs="Arial" w:eastAsia="Arial" w:hAnsi="Arial"/>
          <w:sz w:val="20"/>
          <w:szCs w:val="20"/>
          <w:color w:val="auto"/>
        </w:rPr>
        <w:t>such Expenses to Indemnitee, which are incurred by Indemnitee in connection with any claim asserted or action brought by Indemnitee for (i) indemnification or advance payment of Expenses by the Company under this Agreement or any other agreement or the Company’s By-laws now or hereafter in effect relating to Claims for Indemnifiable Events and/or (ii) recovery under any directors' and officers' liability insurance policies maintained by the Company, regardless of whether the Indemnitee ultimately is determined to be entitled to such indemnification, advance payment of Expenses or insurance recovery, as the case may be.</w:t>
      </w:r>
    </w:p>
    <w:p>
      <w:pPr>
        <w:jc w:val="both"/>
        <w:ind w:firstLine="8"/>
        <w:spacing w:after="0" w:line="504" w:lineRule="auto"/>
        <w:tabs>
          <w:tab w:leader="none" w:pos="423"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Indemnitee is entitled under any provision of this Agreement to indemnification by the Company for some or a portion of the Expenses,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 In connection with any determination by the Reviewing Party or otherwise as to whether Indemnitee is entitled to be indemnified hereunder the burden of' proof shall be on the Company to establish that Indemnitee is not so entitled.</w:t>
      </w:r>
    </w:p>
    <w:p>
      <w:pPr>
        <w:spacing w:after="0" w:line="1" w:lineRule="exact"/>
        <w:rPr>
          <w:rFonts w:ascii="Arial" w:cs="Arial" w:eastAsia="Arial" w:hAnsi="Arial"/>
          <w:sz w:val="19"/>
          <w:szCs w:val="19"/>
          <w:color w:val="auto"/>
        </w:rPr>
      </w:pPr>
    </w:p>
    <w:p>
      <w:pPr>
        <w:jc w:val="both"/>
        <w:ind w:firstLine="8"/>
        <w:spacing w:after="0" w:line="485" w:lineRule="auto"/>
        <w:tabs>
          <w:tab w:leader="none" w:pos="409"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Indemnitee is not entitled to indemnification or Expense advance or that indemnification or Expense advance is not permitted by applicable law. In addition, neither the failure of the Reviewing Party to have made a determination as to whether Indemnitee has met any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7" w:lineRule="exact"/>
        <w:rPr>
          <w:sz w:val="20"/>
          <w:szCs w:val="20"/>
          <w:color w:val="auto"/>
        </w:rPr>
      </w:pPr>
    </w:p>
    <w:p>
      <w:pPr>
        <w:jc w:val="both"/>
        <w:spacing w:after="0" w:line="504" w:lineRule="auto"/>
        <w:rPr>
          <w:sz w:val="20"/>
          <w:szCs w:val="20"/>
          <w:color w:val="auto"/>
        </w:rPr>
      </w:pPr>
      <w:r>
        <w:rPr>
          <w:rFonts w:ascii="Arial" w:cs="Arial" w:eastAsia="Arial" w:hAnsi="Arial"/>
          <w:sz w:val="19"/>
          <w:szCs w:val="19"/>
          <w:color w:val="auto"/>
        </w:rPr>
        <w:t>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 w:lineRule="exact"/>
        <w:rPr>
          <w:sz w:val="20"/>
          <w:szCs w:val="20"/>
          <w:color w:val="auto"/>
        </w:rPr>
      </w:pPr>
    </w:p>
    <w:p>
      <w:pPr>
        <w:jc w:val="both"/>
        <w:ind w:firstLine="8"/>
        <w:spacing w:after="0" w:line="479" w:lineRule="auto"/>
        <w:tabs>
          <w:tab w:leader="none" w:pos="41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rights of Indemnitee hereunder shall be in addition to any other rights Indemnitee may have under the Company's By-laws as in effect on the date of this Agreement or the Delaware General Corporation Law or otherwise. To the extent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jc w:val="both"/>
        <w:ind w:firstLine="8"/>
        <w:spacing w:after="0" w:line="483" w:lineRule="auto"/>
        <w:tabs>
          <w:tab w:leader="none" w:pos="387" w:val="left"/>
        </w:tabs>
        <w:numPr>
          <w:ilvl w:val="0"/>
          <w:numId w:val="9"/>
        </w:numPr>
        <w:rPr>
          <w:rFonts w:ascii="Arial" w:cs="Arial" w:eastAsia="Arial" w:hAnsi="Arial"/>
          <w:sz w:val="20"/>
          <w:szCs w:val="20"/>
          <w:color w:val="auto"/>
        </w:rPr>
      </w:pPr>
      <w:r>
        <w:rPr>
          <w:rFonts w:ascii="Arial" w:cs="Arial" w:eastAsia="Arial" w:hAnsi="Arial"/>
          <w:sz w:val="20"/>
          <w:szCs w:val="20"/>
          <w:color w:val="auto"/>
        </w:rPr>
        <w:t>Indemnitee shall notify the Company in writing of the institution of any action, suit, proceeding, inquiry or investigation that is or may be subject to this Agreement. Indemnitee shall give the Company such information and cooperation as it may reasonably require and as shall be within Indemnitee's power. No legal action under this Agreement shall be brought and no cause of action under this Agreement shall be asserted by or in the right of the Company against Indemnitee, Indemnitee's spouse, heirs, executors or personal or legal representatives after the expiration of two years from the date of accrual of such cause of action, and any claim or cause of action of the Company under this Agreement shall be extinguished and deemed released unless asserted by the timely filing of a legal action within such two-year period; provided, however, that, if any shorter period-of limitations is otherwise applicable to any such cause of action, such shorter period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7" w:lineRule="exact"/>
        <w:rPr>
          <w:sz w:val="20"/>
          <w:szCs w:val="20"/>
          <w:color w:val="auto"/>
        </w:rPr>
      </w:pPr>
    </w:p>
    <w:p>
      <w:pPr>
        <w:jc w:val="both"/>
        <w:ind w:firstLine="8"/>
        <w:spacing w:after="0" w:line="479" w:lineRule="auto"/>
        <w:tabs>
          <w:tab w:leader="none" w:pos="559" w:val="left"/>
        </w:tabs>
        <w:numPr>
          <w:ilvl w:val="0"/>
          <w:numId w:val="10"/>
        </w:numPr>
        <w:rPr>
          <w:rFonts w:ascii="Arial" w:cs="Arial" w:eastAsia="Arial" w:hAnsi="Arial"/>
          <w:sz w:val="20"/>
          <w:szCs w:val="20"/>
          <w:color w:val="auto"/>
        </w:rPr>
      </w:pPr>
      <w:r>
        <w:rPr>
          <w:rFonts w:ascii="Arial" w:cs="Arial" w:eastAsia="Arial" w:hAnsi="Arial"/>
          <w:sz w:val="20"/>
          <w:szCs w:val="20"/>
          <w:color w:val="auto"/>
        </w:rPr>
        <w:t>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jc w:val="both"/>
        <w:ind w:firstLine="8"/>
        <w:spacing w:after="0" w:line="479" w:lineRule="auto"/>
        <w:tabs>
          <w:tab w:leader="none" w:pos="537"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jc w:val="both"/>
        <w:ind w:firstLine="8"/>
        <w:spacing w:after="0" w:line="479" w:lineRule="auto"/>
        <w:tabs>
          <w:tab w:leader="none" w:pos="542"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jc w:val="both"/>
        <w:ind w:firstLine="8"/>
        <w:spacing w:after="0" w:line="479" w:lineRule="auto"/>
        <w:tabs>
          <w:tab w:leader="none" w:pos="536"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shall not be liable under this Agreement to make any payment in connection with any claim made against Indemnitee to the extent Indemnitee has otherwise actually received payment (under any insurance Policy, the Company’s By-laws or otherwise) of the amounts otherwise indemnifiable hereunder.</w:t>
      </w:r>
    </w:p>
    <w:p>
      <w:pPr>
        <w:jc w:val="both"/>
        <w:ind w:firstLine="8"/>
        <w:spacing w:after="0" w:line="487" w:lineRule="auto"/>
        <w:tabs>
          <w:tab w:leader="none" w:pos="604"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7" w:lineRule="exact"/>
        <w:rPr>
          <w:sz w:val="20"/>
          <w:szCs w:val="20"/>
          <w:color w:val="auto"/>
        </w:rPr>
      </w:pPr>
    </w:p>
    <w:p>
      <w:pPr>
        <w:jc w:val="both"/>
        <w:ind w:firstLine="8"/>
        <w:spacing w:after="0" w:line="479" w:lineRule="auto"/>
        <w:tabs>
          <w:tab w:leader="none" w:pos="51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jc w:val="both"/>
        <w:ind w:firstLine="8"/>
        <w:spacing w:after="0" w:line="495" w:lineRule="auto"/>
        <w:tabs>
          <w:tab w:leader="none" w:pos="541"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and enforced in accordance with the laws of the State of Delaware applicable to contracts made and to be performed in such state, but excluding any conflicts of law, rule or principle which might refer such governance, construction or enforcement to the laws of another state or country.</w:t>
      </w:r>
    </w:p>
    <w:p>
      <w:pPr>
        <w:spacing w:after="0" w:line="62"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EMCOR GROUP,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ANTHONY J. GUZZI</w:t>
      </w:r>
      <w:r>
        <w:rPr>
          <w:rFonts w:ascii="Arial" w:cs="Arial" w:eastAsia="Arial" w:hAnsi="Arial"/>
          <w:sz w:val="20"/>
          <w:szCs w:val="20"/>
          <w:color w:val="auto"/>
        </w:rPr>
        <w:t>___</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Anthony J. Guzzi</w:t>
      </w:r>
    </w:p>
    <w:p>
      <w:pPr>
        <w:ind w:left="1380"/>
        <w:spacing w:after="0"/>
        <w:rPr>
          <w:sz w:val="20"/>
          <w:szCs w:val="20"/>
          <w:color w:val="auto"/>
        </w:rPr>
      </w:pPr>
      <w:r>
        <w:rPr>
          <w:rFonts w:ascii="Arial" w:cs="Arial" w:eastAsia="Arial" w:hAnsi="Arial"/>
          <w:sz w:val="20"/>
          <w:szCs w:val="20"/>
          <w:color w:val="auto"/>
        </w:rPr>
        <w:t>Chairman, President and</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PATRICK ROCHE</w:t>
      </w:r>
      <w:r>
        <w:rPr>
          <w:rFonts w:ascii="Arial" w:cs="Arial" w:eastAsia="Arial" w:hAnsi="Arial"/>
          <w:sz w:val="20"/>
          <w:szCs w:val="20"/>
          <w:color w:val="auto"/>
        </w:rPr>
        <w:t>________</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Patrick Roche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1450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7754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8"/>
          <w:szCs w:val="18"/>
          <w:b w:val="1"/>
          <w:bCs w:val="1"/>
          <w:color w:val="auto"/>
        </w:rPr>
        <w:t>EXHIBIT 99.1</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jc w:val="right"/>
              <w:ind w:right="164"/>
              <w:spacing w:after="0"/>
              <w:rPr>
                <w:sz w:val="20"/>
                <w:szCs w:val="20"/>
                <w:color w:val="auto"/>
              </w:rPr>
            </w:pPr>
            <w:r>
              <w:rPr>
                <w:rFonts w:ascii="Arial" w:cs="Arial" w:eastAsia="Arial" w:hAnsi="Arial"/>
                <w:sz w:val="18"/>
                <w:szCs w:val="18"/>
                <w:color w:val="auto"/>
              </w:rPr>
              <w:t>FOR:</w:t>
            </w:r>
          </w:p>
        </w:tc>
        <w:tc>
          <w:tcPr>
            <w:tcW w:w="2640" w:type="dxa"/>
            <w:vAlign w:val="bottom"/>
          </w:tcPr>
          <w:p>
            <w:pPr>
              <w:ind w:left="280"/>
              <w:spacing w:after="0"/>
              <w:rPr>
                <w:sz w:val="20"/>
                <w:szCs w:val="20"/>
                <w:color w:val="auto"/>
              </w:rPr>
            </w:pPr>
            <w:r>
              <w:rPr>
                <w:rFonts w:ascii="Arial" w:cs="Arial" w:eastAsia="Arial" w:hAnsi="Arial"/>
                <w:sz w:val="18"/>
                <w:szCs w:val="18"/>
                <w:color w:val="auto"/>
              </w:rPr>
              <w:t>EMCOR GROUP, INC.</w:t>
            </w:r>
          </w:p>
        </w:tc>
      </w:tr>
      <w:tr>
        <w:trPr>
          <w:trHeight w:val="280"/>
        </w:trPr>
        <w:tc>
          <w:tcPr>
            <w:tcW w:w="6700" w:type="dxa"/>
            <w:vAlign w:val="bottom"/>
          </w:tcPr>
          <w:p>
            <w:pPr>
              <w:jc w:val="right"/>
              <w:ind w:right="5164"/>
              <w:spacing w:after="0"/>
              <w:rPr>
                <w:sz w:val="20"/>
                <w:szCs w:val="20"/>
                <w:color w:val="auto"/>
              </w:rPr>
            </w:pPr>
            <w:r>
              <w:rPr>
                <w:rFonts w:ascii="Arial" w:cs="Arial" w:eastAsia="Arial" w:hAnsi="Arial"/>
                <w:sz w:val="22"/>
                <w:szCs w:val="22"/>
                <w:b w:val="1"/>
                <w:bCs w:val="1"/>
                <w:color w:val="auto"/>
                <w:w w:val="96"/>
              </w:rPr>
              <w:t>News Release</w:t>
            </w:r>
          </w:p>
        </w:tc>
        <w:tc>
          <w:tcPr>
            <w:tcW w:w="2640" w:type="dxa"/>
            <w:vAlign w:val="bottom"/>
          </w:tcPr>
          <w:p>
            <w:pPr>
              <w:spacing w:after="0"/>
              <w:rPr>
                <w:sz w:val="24"/>
                <w:szCs w:val="24"/>
                <w:color w:val="auto"/>
              </w:rPr>
            </w:pPr>
          </w:p>
        </w:tc>
      </w:tr>
      <w:tr>
        <w:trPr>
          <w:trHeight w:val="181"/>
        </w:trPr>
        <w:tc>
          <w:tcPr>
            <w:tcW w:w="6700" w:type="dxa"/>
            <w:vAlign w:val="bottom"/>
          </w:tcPr>
          <w:p>
            <w:pPr>
              <w:jc w:val="right"/>
              <w:ind w:right="164"/>
              <w:spacing w:after="0" w:line="181" w:lineRule="exact"/>
              <w:rPr>
                <w:sz w:val="20"/>
                <w:szCs w:val="20"/>
                <w:color w:val="auto"/>
              </w:rPr>
            </w:pPr>
            <w:r>
              <w:rPr>
                <w:rFonts w:ascii="Arial" w:cs="Arial" w:eastAsia="Arial" w:hAnsi="Arial"/>
                <w:sz w:val="18"/>
                <w:szCs w:val="18"/>
                <w:color w:val="auto"/>
              </w:rPr>
              <w:t>CONTACT:</w:t>
            </w: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rPr>
              <w:t>Lucas Sullivan</w:t>
            </w:r>
          </w:p>
        </w:tc>
      </w:tr>
      <w:tr>
        <w:trPr>
          <w:trHeight w:val="184"/>
        </w:trPr>
        <w:tc>
          <w:tcPr>
            <w:tcW w:w="670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rPr>
              <w:t>Director</w:t>
            </w:r>
          </w:p>
        </w:tc>
      </w:tr>
      <w:tr>
        <w:trPr>
          <w:trHeight w:val="181"/>
        </w:trPr>
        <w:tc>
          <w:tcPr>
            <w:tcW w:w="6700" w:type="dxa"/>
            <w:vAlign w:val="bottom"/>
          </w:tcPr>
          <w:p>
            <w:pPr>
              <w:spacing w:after="0"/>
              <w:rPr>
                <w:sz w:val="15"/>
                <w:szCs w:val="15"/>
                <w:color w:val="auto"/>
              </w:rPr>
            </w:pP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w w:val="99"/>
              </w:rPr>
              <w:t>Financial Planning &amp; Analysis</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(203) 849-7938</w:t>
            </w:r>
          </w:p>
        </w:tc>
      </w:tr>
      <w:tr>
        <w:trPr>
          <w:trHeight w:val="396"/>
        </w:trPr>
        <w:tc>
          <w:tcPr>
            <w:tcW w:w="670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FTI Consulting, Inc.</w:t>
            </w:r>
          </w:p>
        </w:tc>
      </w:tr>
      <w:tr>
        <w:trPr>
          <w:trHeight w:val="184"/>
        </w:trPr>
        <w:tc>
          <w:tcPr>
            <w:tcW w:w="670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rPr>
              <w:t>Investors: Blake Mueller</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(718) 578-3706</w:t>
            </w:r>
          </w:p>
        </w:tc>
      </w:tr>
    </w:tbl>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PAT ROCHE ELECTED TO THE EMCOR GROUP, INC. BOARD OF DIRECTORS</w:t>
      </w:r>
    </w:p>
    <w:p>
      <w:pPr>
        <w:spacing w:after="0" w:line="37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NORWALK, CONNECTICUT, October 29, 2025 – EMCOR Group, Inc. (the “Company”) (NYSE: EME) announced today the election of Pat Roche to the Company’s Board of Directors, effective October 27, 2025.</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Mr. Roche, 62, is currently President and Chief Executive Officer of Moog Inc. (“Moog”) (NYSE: MOG.A and MOG.B), a publicly traded, leading worldwide designer, manufacturer and systems integrator of high-performance precision motion and fluid controls and control systems. He also serves on the Board of Directors of Moog.</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Anthony J. Guzzi, Chairman, President and Chief Executive Officer of EMCOR Group, Inc. commented, “Pat brings extensive strategic and operational leadership experience to our Board of Directors. His experience in the industrial sector, together with his strong leadership skills, will be invaluable to EMCOR as we continue to grow and deliver exceptional results for customers and drive long-term value for our shareholders.”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Mr. Roche became CEO of Moog in 2023 after serving as Executive Vice President and Chief Operating Officer of Moog since 2021. He previously held various leadership positions at Moog, including Vice President and President of the Industrial Systems Group.</w:t>
      </w:r>
    </w:p>
    <w:p>
      <w:pPr>
        <w:spacing w:after="0" w:line="205"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Mr. Roche received a Bachelor of Engineering, Master of Engineering Science and MBA degrees from the University College Cork, Ireland and completed the Advanced Management Program at Harvard Business School. Pat is a Chartered Engineer and Fellow of Engineers, Ireland.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EMCOR</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 Fortune 500 company and a member of the S&amp;P 500, EMCOR Group, Inc. is a leader in mechanical and electrical construction services, industrial and energy infrastructure and building services. This press release and other press releases may be viewed at the Company’s website at </w:t>
      </w:r>
      <w:r>
        <w:rPr>
          <w:rFonts w:ascii="Arial" w:cs="Arial" w:eastAsia="Arial" w:hAnsi="Arial"/>
          <w:sz w:val="20"/>
          <w:szCs w:val="20"/>
          <w:color w:val="0000FF"/>
        </w:rPr>
        <w:t>www.emcorgroup.com</w:t>
      </w:r>
      <w:r>
        <w:rPr>
          <w:rFonts w:ascii="Arial" w:cs="Arial" w:eastAsia="Arial" w:hAnsi="Arial"/>
          <w:sz w:val="20"/>
          <w:szCs w:val="20"/>
          <w:color w:val="auto"/>
        </w:rPr>
        <w:t xml:space="preserve">. EMCOR routinely posts information that may be important to investors on the landing page of the Company’s website and in the “Investor Relations” section of the website at </w:t>
      </w:r>
      <w:r>
        <w:rPr>
          <w:rFonts w:ascii="Arial" w:cs="Arial" w:eastAsia="Arial" w:hAnsi="Arial"/>
          <w:sz w:val="20"/>
          <w:szCs w:val="20"/>
          <w:color w:val="0000FF"/>
        </w:rPr>
        <w:t>www.emcorgroup.com/investor-relations</w:t>
      </w:r>
      <w:r>
        <w:rPr>
          <w:rFonts w:ascii="Times New Roman" w:cs="Times New Roman" w:eastAsia="Times New Roman" w:hAnsi="Times New Roman"/>
          <w:sz w:val="17"/>
          <w:szCs w:val="17"/>
          <w:color w:val="000000"/>
        </w:rPr>
        <w:t>.</w:t>
      </w:r>
      <w:r>
        <w:rPr>
          <w:rFonts w:ascii="Arial" w:cs="Arial" w:eastAsia="Arial" w:hAnsi="Arial"/>
          <w:sz w:val="20"/>
          <w:szCs w:val="20"/>
          <w:color w:val="0000FF"/>
        </w:rPr>
        <w:t xml:space="preserve"> </w:t>
      </w:r>
      <w:r>
        <w:rPr>
          <w:rFonts w:ascii="Arial" w:cs="Arial" w:eastAsia="Arial" w:hAnsi="Arial"/>
          <w:sz w:val="20"/>
          <w:szCs w:val="20"/>
          <w:color w:val="000000"/>
        </w:rPr>
        <w:t>Investors and potential investors are encouraged to consult the EMCOR website</w:t>
      </w:r>
      <w:r>
        <w:rPr>
          <w:rFonts w:ascii="Arial" w:cs="Arial" w:eastAsia="Arial" w:hAnsi="Arial"/>
          <w:sz w:val="20"/>
          <w:szCs w:val="20"/>
          <w:color w:val="0000FF"/>
        </w:rPr>
        <w:t xml:space="preserve"> </w:t>
      </w:r>
      <w:r>
        <w:rPr>
          <w:rFonts w:ascii="Arial" w:cs="Arial" w:eastAsia="Arial" w:hAnsi="Arial"/>
          <w:sz w:val="20"/>
          <w:szCs w:val="20"/>
          <w:color w:val="000000"/>
        </w:rPr>
        <w:t>regularly for important information about EMCOR.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decimal"/>
      <w:start w:val="1"/>
    </w:lvl>
    <w:lvl w:ilvl="1">
      <w:lvlJc w:val="left"/>
      <w:lvlText w:val="(%2)"/>
      <w:numFmt w:val="lowerRoman"/>
      <w:start w:val="3"/>
    </w:lvl>
  </w:abstractNum>
  <w:abstractNum w:abstractNumId="6">
    <w:nsid w:val="5BD062C2"/>
    <w:multiLevelType w:val="hybridMultilevel"/>
    <w:lvl w:ilvl="0">
      <w:lvlJc w:val="left"/>
      <w:lvlText w:val="%1."/>
      <w:numFmt w:val="decimal"/>
      <w:start w:val="4"/>
    </w:lvl>
    <w:lvl w:ilvl="1">
      <w:lvlJc w:val="left"/>
      <w:lvlText w:val="%2"/>
      <w:numFmt w:val="lowerRoman"/>
      <w:start w:val="1"/>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2025-10-29T10:57:23Z</dcterms:created>
  <dcterms:modified xsi:type="dcterms:W3CDTF">2025-10-29T10:57:23Z</dcterms:modified>
</cp:coreProperties>
</file>