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MCEVOY M KEVIN</w:t>
              </w:r>
            </w:hyperlink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EMCOR Group,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EME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76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 NORTH BAY BLVD.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ind w:left="120"/>
        <w:spacing w:after="0" w:line="188" w:lineRule="auto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00FF"/>
          <w:vertAlign w:val="superscript"/>
        </w:rPr>
        <w:t>THE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0"/>
          <w:szCs w:val="10"/>
          <w:color w:val="0000FF"/>
        </w:rPr>
        <w:t>TX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4"/>
          <w:szCs w:val="14"/>
          <w:color w:val="0000FF"/>
        </w:rPr>
        <w:t>77380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WOODLANDS</w:t>
      </w:r>
    </w:p>
    <w:p>
      <w:pPr>
        <w:spacing w:after="0" w:line="319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3"/>
                <w:vertAlign w:val="subscript"/>
              </w:rPr>
              <w:t>230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13,559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reported herein as acquired represent shares of common stock issuable in the future with respect to restricted stock units ("RSUs") granted to the reporting person.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shares issuable in respect of RSUs.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Maxine L. Mauricio,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40855" TargetMode="External"/><Relationship Id="rId14" Type="http://schemas.openxmlformats.org/officeDocument/2006/relationships/hyperlink" Target="http://www.sec.gov/cgi-bin/browse-edgar?action=getcompany&amp;CIK=000010563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2026-06-05T11:05:41Z</dcterms:created>
  <dcterms:modified xsi:type="dcterms:W3CDTF">2026-06-05T11:05:41Z</dcterms:modified>
</cp:coreProperties>
</file>